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D4F4" w14:textId="77777777" w:rsidR="00CE4936" w:rsidRPr="001F0A61" w:rsidRDefault="00BC3F55" w:rsidP="001F0A61">
      <w:pPr>
        <w:pStyle w:val="Ttulo"/>
        <w:jc w:val="center"/>
        <w:rPr>
          <w:rFonts w:ascii="Times New Roman" w:hAnsi="Times New Roman" w:cs="Times New Roman"/>
          <w:color w:val="auto"/>
          <w:lang w:val="es-EC"/>
        </w:rPr>
      </w:pPr>
      <w:r w:rsidRPr="001F0A61">
        <w:rPr>
          <w:rFonts w:ascii="Times New Roman" w:hAnsi="Times New Roman" w:cs="Times New Roman"/>
          <w:color w:val="auto"/>
          <w:lang w:val="es-EC"/>
        </w:rPr>
        <w:t>Inteligencia de mercado público en Ecuador: análisis descriptivo y asociativo de la contratación 2024</w:t>
      </w:r>
    </w:p>
    <w:p w14:paraId="6FF30223" w14:textId="77777777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6EB90A3E" w14:textId="77777777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3F0E799A" w14:textId="77777777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4423B5AF" w14:textId="77777777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2D7A104B" w14:textId="77777777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45A24E0A" w14:textId="77777777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42C1646E" w14:textId="77777777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1D0E6449" w14:textId="77777777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00E805A4" w14:textId="671A033A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  <w:r w:rsidRPr="001F0A61">
        <w:rPr>
          <w:rFonts w:ascii="Times New Roman" w:hAnsi="Times New Roman" w:cs="Times New Roman"/>
          <w:b/>
          <w:lang w:val="es-EC"/>
        </w:rPr>
        <w:t>Universidad de las Américas</w:t>
      </w:r>
    </w:p>
    <w:p w14:paraId="6BFAB22B" w14:textId="0B91FD42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7AAD7429" w14:textId="6B4E4905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35543609" w14:textId="7AA9BC6D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5CAE9489" w14:textId="30853E30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02AF78EE" w14:textId="20BEEC7F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57839A28" w14:textId="6EBDCF17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02BE880A" w14:textId="6275A3A6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4729528F" w14:textId="77777777" w:rsidR="001F0A61" w:rsidRPr="001F0A61" w:rsidRDefault="001F0A61" w:rsidP="001F0A61">
      <w:pPr>
        <w:jc w:val="center"/>
        <w:rPr>
          <w:rFonts w:ascii="Times New Roman" w:hAnsi="Times New Roman" w:cs="Times New Roman"/>
          <w:b/>
          <w:lang w:val="es-EC"/>
        </w:rPr>
      </w:pPr>
    </w:p>
    <w:p w14:paraId="30189AB0" w14:textId="4C29F6A5" w:rsidR="00CE4936" w:rsidRPr="001F0A61" w:rsidRDefault="00BC3F55" w:rsidP="001F0A61">
      <w:pPr>
        <w:jc w:val="center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b/>
          <w:lang w:val="es-EC"/>
        </w:rPr>
        <w:t xml:space="preserve">Esteban </w:t>
      </w:r>
      <w:r w:rsidR="001F0A61" w:rsidRPr="001F0A61">
        <w:rPr>
          <w:rFonts w:ascii="Times New Roman" w:hAnsi="Times New Roman" w:cs="Times New Roman"/>
          <w:b/>
          <w:lang w:val="es-EC"/>
        </w:rPr>
        <w:t>Garzón</w:t>
      </w:r>
      <w:r w:rsidRPr="001F0A61">
        <w:rPr>
          <w:rFonts w:ascii="Times New Roman" w:hAnsi="Times New Roman" w:cs="Times New Roman"/>
          <w:b/>
          <w:lang w:val="es-EC"/>
        </w:rPr>
        <w:br/>
      </w:r>
      <w:r w:rsidRPr="001F0A61">
        <w:rPr>
          <w:rFonts w:ascii="Times New Roman" w:hAnsi="Times New Roman" w:cs="Times New Roman"/>
          <w:lang w:val="es-EC"/>
        </w:rPr>
        <w:t>Asignatura: Analítica de Datos y Toma de Decisiones</w:t>
      </w:r>
      <w:r w:rsidRPr="001F0A61">
        <w:rPr>
          <w:rFonts w:ascii="Times New Roman" w:hAnsi="Times New Roman" w:cs="Times New Roman"/>
          <w:lang w:val="es-EC"/>
        </w:rPr>
        <w:br/>
        <w:t>Fecha: 2025-08-25</w:t>
      </w:r>
      <w:r w:rsidRPr="001F0A61">
        <w:rPr>
          <w:rFonts w:ascii="Times New Roman" w:hAnsi="Times New Roman" w:cs="Times New Roman"/>
          <w:lang w:val="es-EC"/>
        </w:rPr>
        <w:br/>
      </w:r>
    </w:p>
    <w:p w14:paraId="3AF32A21" w14:textId="77777777" w:rsidR="00CE4936" w:rsidRPr="001F0A61" w:rsidRDefault="00BC3F55">
      <w:pPr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br w:type="page"/>
      </w:r>
    </w:p>
    <w:p w14:paraId="1DA405D0" w14:textId="77777777" w:rsidR="00CE4936" w:rsidRPr="001F0A61" w:rsidRDefault="00BC3F55">
      <w:pPr>
        <w:pStyle w:val="Ttulo1"/>
        <w:rPr>
          <w:rFonts w:ascii="Times New Roman" w:hAnsi="Times New Roman" w:cs="Times New Roman"/>
          <w:color w:val="auto"/>
          <w:lang w:val="es-EC"/>
        </w:rPr>
      </w:pPr>
      <w:r w:rsidRPr="001F0A61">
        <w:rPr>
          <w:rFonts w:ascii="Times New Roman" w:hAnsi="Times New Roman" w:cs="Times New Roman"/>
          <w:color w:val="auto"/>
          <w:lang w:val="es-EC"/>
        </w:rPr>
        <w:lastRenderedPageBreak/>
        <w:t>Introducción</w:t>
      </w:r>
    </w:p>
    <w:p w14:paraId="387FBD87" w14:textId="6DF0EE55" w:rsidR="00CE4936" w:rsidRPr="001F0A61" w:rsidRDefault="00BC3F55" w:rsidP="001F0A61">
      <w:pPr>
        <w:jc w:val="both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 xml:space="preserve">La contratación pública </w:t>
      </w:r>
      <w:r w:rsidRPr="001F0A61">
        <w:rPr>
          <w:rFonts w:ascii="Times New Roman" w:hAnsi="Times New Roman" w:cs="Times New Roman"/>
          <w:lang w:val="es-EC"/>
        </w:rPr>
        <w:t>ecuatoriana constituye un mercado clave para miles de empresas que venden bienes,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servicios y obras al Estado. Para los tomadores de decisiones en el sector privado, comprender la dinámica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de montos, procedimientos y tipos de compra permite identificar nic</w:t>
      </w:r>
      <w:r w:rsidRPr="001F0A61">
        <w:rPr>
          <w:rFonts w:ascii="Times New Roman" w:hAnsi="Times New Roman" w:cs="Times New Roman"/>
          <w:lang w:val="es-EC"/>
        </w:rPr>
        <w:t>hos de oportunidad, planificar capacidades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comerciales y priorizar inversiones tecnológicas. Este reporte analiza información oficial correspondiente a 2024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publicada por el Servicio Nacional de Contratación Pública (SERCOP). Se realiza un análisis descrip</w:t>
      </w:r>
      <w:r w:rsidRPr="001F0A61">
        <w:rPr>
          <w:rFonts w:ascii="Times New Roman" w:hAnsi="Times New Roman" w:cs="Times New Roman"/>
          <w:lang w:val="es-EC"/>
        </w:rPr>
        <w:t>tivo y un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ejercicio asociativo con variables cuantitativas (número de procesos, montos adjudicados y rebajas presupuestarias)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y cualitativas (tipos de procedimiento), con el fin de generar recomendaciones de innovación empresarial y tecnológica.</w:t>
      </w:r>
    </w:p>
    <w:p w14:paraId="1796AA07" w14:textId="77777777" w:rsidR="00CE4936" w:rsidRPr="001F0A61" w:rsidRDefault="00BC3F55">
      <w:pPr>
        <w:pStyle w:val="Ttulo1"/>
        <w:rPr>
          <w:rFonts w:ascii="Times New Roman" w:hAnsi="Times New Roman" w:cs="Times New Roman"/>
          <w:color w:val="auto"/>
          <w:lang w:val="es-EC"/>
        </w:rPr>
      </w:pPr>
      <w:r w:rsidRPr="001F0A61">
        <w:rPr>
          <w:rFonts w:ascii="Times New Roman" w:hAnsi="Times New Roman" w:cs="Times New Roman"/>
          <w:color w:val="auto"/>
          <w:lang w:val="es-EC"/>
        </w:rPr>
        <w:t>Metodologí</w:t>
      </w:r>
      <w:r w:rsidRPr="001F0A61">
        <w:rPr>
          <w:rFonts w:ascii="Times New Roman" w:hAnsi="Times New Roman" w:cs="Times New Roman"/>
          <w:color w:val="auto"/>
          <w:lang w:val="es-EC"/>
        </w:rPr>
        <w:t>a</w:t>
      </w:r>
    </w:p>
    <w:p w14:paraId="3ADEA5A6" w14:textId="77777777" w:rsidR="001F0A61" w:rsidRDefault="00BC3F55">
      <w:pPr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 xml:space="preserve">Los datos provienen del “Informe Preliminar RDC 2024” del SERCOP (Dirección </w:t>
      </w:r>
      <w:proofErr w:type="gramStart"/>
      <w:r w:rsidRPr="001F0A61">
        <w:rPr>
          <w:rFonts w:ascii="Times New Roman" w:hAnsi="Times New Roman" w:cs="Times New Roman"/>
          <w:lang w:val="es-EC"/>
        </w:rPr>
        <w:t xml:space="preserve">de 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Estudios</w:t>
      </w:r>
      <w:proofErr w:type="gramEnd"/>
      <w:r w:rsidRPr="001F0A61">
        <w:rPr>
          <w:rFonts w:ascii="Times New Roman" w:hAnsi="Times New Roman" w:cs="Times New Roman"/>
          <w:lang w:val="es-EC"/>
        </w:rPr>
        <w:t xml:space="preserve"> de la Contratación Pública), que consolida cifras provisionales anuales por régimen y tipo de compra.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En particular, se extrajeron la</w:t>
      </w:r>
      <w:r w:rsidRPr="001F0A61">
        <w:rPr>
          <w:rFonts w:ascii="Times New Roman" w:hAnsi="Times New Roman" w:cs="Times New Roman"/>
          <w:lang w:val="es-EC"/>
        </w:rPr>
        <w:t>s Tablas 2, 3, 4 y 5 del reporte, que detallan: (i) montos y número de procesos por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tipo de procedimiento del Régimen Común (RC); (</w:t>
      </w:r>
      <w:proofErr w:type="spellStart"/>
      <w:r w:rsidRPr="001F0A61">
        <w:rPr>
          <w:rFonts w:ascii="Times New Roman" w:hAnsi="Times New Roman" w:cs="Times New Roman"/>
          <w:lang w:val="es-EC"/>
        </w:rPr>
        <w:t>ii</w:t>
      </w:r>
      <w:proofErr w:type="spellEnd"/>
      <w:r w:rsidRPr="001F0A61">
        <w:rPr>
          <w:rFonts w:ascii="Times New Roman" w:hAnsi="Times New Roman" w:cs="Times New Roman"/>
          <w:lang w:val="es-EC"/>
        </w:rPr>
        <w:t>) montos y número de procesos por procedimientos del Régimen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Especial (RE); (</w:t>
      </w:r>
      <w:proofErr w:type="spellStart"/>
      <w:r w:rsidRPr="001F0A61">
        <w:rPr>
          <w:rFonts w:ascii="Times New Roman" w:hAnsi="Times New Roman" w:cs="Times New Roman"/>
          <w:lang w:val="es-EC"/>
        </w:rPr>
        <w:t>iii</w:t>
      </w:r>
      <w:proofErr w:type="spellEnd"/>
      <w:r w:rsidRPr="001F0A61">
        <w:rPr>
          <w:rFonts w:ascii="Times New Roman" w:hAnsi="Times New Roman" w:cs="Times New Roman"/>
          <w:lang w:val="es-EC"/>
        </w:rPr>
        <w:t>) montos para “Otros procedimientos” (Emerg</w:t>
      </w:r>
      <w:r w:rsidRPr="001F0A61">
        <w:rPr>
          <w:rFonts w:ascii="Times New Roman" w:hAnsi="Times New Roman" w:cs="Times New Roman"/>
          <w:lang w:val="es-EC"/>
        </w:rPr>
        <w:t>encias, Ínfima Cuantía, etc.); y (</w:t>
      </w:r>
      <w:proofErr w:type="spellStart"/>
      <w:r w:rsidRPr="001F0A61">
        <w:rPr>
          <w:rFonts w:ascii="Times New Roman" w:hAnsi="Times New Roman" w:cs="Times New Roman"/>
          <w:lang w:val="es-EC"/>
        </w:rPr>
        <w:t>iv</w:t>
      </w:r>
      <w:proofErr w:type="spellEnd"/>
      <w:r w:rsidRPr="001F0A61">
        <w:rPr>
          <w:rFonts w:ascii="Times New Roman" w:hAnsi="Times New Roman" w:cs="Times New Roman"/>
          <w:lang w:val="es-EC"/>
        </w:rPr>
        <w:t xml:space="preserve">) el desglose </w:t>
      </w:r>
      <w:proofErr w:type="gramStart"/>
      <w:r w:rsidRPr="001F0A61">
        <w:rPr>
          <w:rFonts w:ascii="Times New Roman" w:hAnsi="Times New Roman" w:cs="Times New Roman"/>
          <w:lang w:val="es-EC"/>
        </w:rPr>
        <w:t xml:space="preserve">por 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tipo</w:t>
      </w:r>
      <w:proofErr w:type="gramEnd"/>
      <w:r w:rsidRPr="001F0A61">
        <w:rPr>
          <w:rFonts w:ascii="Times New Roman" w:hAnsi="Times New Roman" w:cs="Times New Roman"/>
          <w:lang w:val="es-EC"/>
        </w:rPr>
        <w:t xml:space="preserve"> de compra (bienes, servicios, obras, etc.).</w:t>
      </w:r>
      <w:r w:rsidRPr="001F0A61">
        <w:rPr>
          <w:rFonts w:ascii="Times New Roman" w:hAnsi="Times New Roman" w:cs="Times New Roman"/>
          <w:lang w:val="es-EC"/>
        </w:rPr>
        <w:br/>
        <w:t xml:space="preserve"> </w:t>
      </w:r>
      <w:r w:rsidRPr="001F0A61">
        <w:rPr>
          <w:rFonts w:ascii="Times New Roman" w:hAnsi="Times New Roman" w:cs="Times New Roman"/>
          <w:lang w:val="es-EC"/>
        </w:rPr>
        <w:br/>
      </w:r>
      <w:r w:rsidRPr="001F0A61">
        <w:rPr>
          <w:rFonts w:ascii="Times New Roman" w:hAnsi="Times New Roman" w:cs="Times New Roman"/>
          <w:b/>
          <w:bCs/>
          <w:lang w:val="es-EC"/>
        </w:rPr>
        <w:t>Variables utilizadas.</w:t>
      </w:r>
      <w:r w:rsidRPr="001F0A61">
        <w:rPr>
          <w:rFonts w:ascii="Times New Roman" w:hAnsi="Times New Roman" w:cs="Times New Roman"/>
          <w:lang w:val="es-EC"/>
        </w:rPr>
        <w:t xml:space="preserve"> </w:t>
      </w:r>
    </w:p>
    <w:p w14:paraId="03CBC0E6" w14:textId="77777777" w:rsidR="001F0A61" w:rsidRDefault="00BC3F55" w:rsidP="001F0A61">
      <w:pPr>
        <w:jc w:val="both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 xml:space="preserve">Cuantitativas: número de procesos, presupuesto, monto adjudicado y rebaja presupuestaria </w:t>
      </w:r>
      <w:r w:rsidRPr="001F0A61">
        <w:rPr>
          <w:rFonts w:ascii="Times New Roman" w:hAnsi="Times New Roman" w:cs="Times New Roman"/>
          <w:lang w:val="es-EC"/>
        </w:rPr>
        <w:br/>
        <w:t xml:space="preserve">(millones USD). Cualitativas: tipo de </w:t>
      </w:r>
      <w:r w:rsidRPr="001F0A61">
        <w:rPr>
          <w:rFonts w:ascii="Times New Roman" w:hAnsi="Times New Roman" w:cs="Times New Roman"/>
          <w:lang w:val="es-EC"/>
        </w:rPr>
        <w:t xml:space="preserve">procedimiento (RC, RE y otros) y tipo de compra. Periodicidad: anual </w:t>
      </w:r>
      <w:proofErr w:type="gramStart"/>
      <w:r w:rsidRPr="001F0A61">
        <w:rPr>
          <w:rFonts w:ascii="Times New Roman" w:hAnsi="Times New Roman" w:cs="Times New Roman"/>
          <w:lang w:val="es-EC"/>
        </w:rPr>
        <w:t xml:space="preserve">2024 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(</w:t>
      </w:r>
      <w:proofErr w:type="gramEnd"/>
      <w:r w:rsidRPr="001F0A61">
        <w:rPr>
          <w:rFonts w:ascii="Times New Roman" w:hAnsi="Times New Roman" w:cs="Times New Roman"/>
          <w:lang w:val="es-EC"/>
        </w:rPr>
        <w:t xml:space="preserve">cifras provisionales). Número de observaciones: 10 categorías para </w:t>
      </w:r>
      <w:r w:rsidRPr="001F0A61">
        <w:rPr>
          <w:rFonts w:ascii="Times New Roman" w:hAnsi="Times New Roman" w:cs="Times New Roman"/>
          <w:lang w:val="es-EC"/>
        </w:rPr>
        <w:t>R</w:t>
      </w:r>
      <w:r w:rsidRPr="001F0A61">
        <w:rPr>
          <w:rFonts w:ascii="Times New Roman" w:hAnsi="Times New Roman" w:cs="Times New Roman"/>
          <w:lang w:val="es-EC"/>
        </w:rPr>
        <w:t>C, 10 para RE, 4 para otros procedimientos y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6 para tipo de compra.</w:t>
      </w:r>
      <w:r w:rsidRPr="001F0A61">
        <w:rPr>
          <w:rFonts w:ascii="Times New Roman" w:hAnsi="Times New Roman" w:cs="Times New Roman"/>
          <w:lang w:val="es-EC"/>
        </w:rPr>
        <w:br/>
        <w:t xml:space="preserve"> </w:t>
      </w:r>
      <w:r w:rsidRPr="001F0A61">
        <w:rPr>
          <w:rFonts w:ascii="Times New Roman" w:hAnsi="Times New Roman" w:cs="Times New Roman"/>
          <w:lang w:val="es-EC"/>
        </w:rPr>
        <w:br/>
      </w:r>
      <w:r w:rsidRPr="001F0A61">
        <w:rPr>
          <w:rFonts w:ascii="Times New Roman" w:hAnsi="Times New Roman" w:cs="Times New Roman"/>
          <w:b/>
          <w:bCs/>
          <w:lang w:val="es-EC"/>
        </w:rPr>
        <w:t>Procesamiento y software.</w:t>
      </w:r>
      <w:r w:rsidRPr="001F0A61">
        <w:rPr>
          <w:rFonts w:ascii="Times New Roman" w:hAnsi="Times New Roman" w:cs="Times New Roman"/>
          <w:lang w:val="es-EC"/>
        </w:rPr>
        <w:t xml:space="preserve"> </w:t>
      </w:r>
    </w:p>
    <w:p w14:paraId="0A059B0C" w14:textId="03716D86" w:rsidR="00CE4936" w:rsidRPr="001F0A61" w:rsidRDefault="00BC3F55" w:rsidP="001F0A61">
      <w:pPr>
        <w:jc w:val="both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>El tratamiento s</w:t>
      </w:r>
      <w:r w:rsidRPr="001F0A61">
        <w:rPr>
          <w:rFonts w:ascii="Times New Roman" w:hAnsi="Times New Roman" w:cs="Times New Roman"/>
          <w:lang w:val="es-EC"/>
        </w:rPr>
        <w:t xml:space="preserve">e realizó en Python (pandas y </w:t>
      </w:r>
      <w:proofErr w:type="spellStart"/>
      <w:r w:rsidRPr="001F0A61">
        <w:rPr>
          <w:rFonts w:ascii="Times New Roman" w:hAnsi="Times New Roman" w:cs="Times New Roman"/>
          <w:lang w:val="es-EC"/>
        </w:rPr>
        <w:t>matplotlib</w:t>
      </w:r>
      <w:proofErr w:type="spellEnd"/>
      <w:r w:rsidRPr="001F0A61">
        <w:rPr>
          <w:rFonts w:ascii="Times New Roman" w:hAnsi="Times New Roman" w:cs="Times New Roman"/>
          <w:lang w:val="es-EC"/>
        </w:rPr>
        <w:t>). Se calcularon participaciones</w:t>
      </w:r>
      <w:r w:rsidRPr="001F0A61">
        <w:rPr>
          <w:rFonts w:ascii="Times New Roman" w:hAnsi="Times New Roman" w:cs="Times New Roman"/>
          <w:lang w:val="es-EC"/>
        </w:rPr>
        <w:br/>
        <w:t xml:space="preserve">relativas (%), </w:t>
      </w:r>
      <w:proofErr w:type="gramStart"/>
      <w:r w:rsidRPr="001F0A61">
        <w:rPr>
          <w:rFonts w:ascii="Times New Roman" w:hAnsi="Times New Roman" w:cs="Times New Roman"/>
          <w:lang w:val="es-EC"/>
        </w:rPr>
        <w:t>tickets</w:t>
      </w:r>
      <w:proofErr w:type="gramEnd"/>
      <w:r w:rsidRPr="001F0A61">
        <w:rPr>
          <w:rFonts w:ascii="Times New Roman" w:hAnsi="Times New Roman" w:cs="Times New Roman"/>
          <w:lang w:val="es-EC"/>
        </w:rPr>
        <w:t xml:space="preserve"> promedio (miles USD por proceso) y medidas de asociación no paramétricas entre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variables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cuantitativas (correlación de Spearman). Dado que no se dispone de micr</w:t>
      </w:r>
      <w:r w:rsidRPr="001F0A61">
        <w:rPr>
          <w:rFonts w:ascii="Times New Roman" w:hAnsi="Times New Roman" w:cs="Times New Roman"/>
          <w:lang w:val="es-EC"/>
        </w:rPr>
        <w:t>odatos transaccionales en el reporte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consolidado, el análisis de asociación se restringe a relaciones entre agregados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(p. ej., procesos vs. montos a nivel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de tipo de procedimiento). La documentación metodológica se alinea a buenas prácticas del Modelo de P</w:t>
      </w:r>
      <w:r w:rsidRPr="001F0A61">
        <w:rPr>
          <w:rFonts w:ascii="Times New Roman" w:hAnsi="Times New Roman" w:cs="Times New Roman"/>
          <w:lang w:val="es-EC"/>
        </w:rPr>
        <w:t>roducción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Estadística (INEC) y al estándar internacional OCDS para datos de contratación pública.</w:t>
      </w:r>
    </w:p>
    <w:p w14:paraId="1419E04C" w14:textId="77777777" w:rsidR="00CE4936" w:rsidRPr="001F0A61" w:rsidRDefault="00BC3F55">
      <w:pPr>
        <w:pStyle w:val="Ttulo1"/>
        <w:rPr>
          <w:rFonts w:ascii="Times New Roman" w:hAnsi="Times New Roman" w:cs="Times New Roman"/>
          <w:color w:val="auto"/>
          <w:lang w:val="es-EC"/>
        </w:rPr>
      </w:pPr>
      <w:r w:rsidRPr="001F0A61">
        <w:rPr>
          <w:rFonts w:ascii="Times New Roman" w:hAnsi="Times New Roman" w:cs="Times New Roman"/>
          <w:color w:val="auto"/>
          <w:lang w:val="es-EC"/>
        </w:rPr>
        <w:t>Resultados</w:t>
      </w:r>
    </w:p>
    <w:p w14:paraId="3FBE7B48" w14:textId="24E3075E" w:rsidR="00CE4936" w:rsidRPr="001F0A61" w:rsidRDefault="00BC3F55" w:rsidP="001F0A61">
      <w:pPr>
        <w:jc w:val="both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>1</w:t>
      </w:r>
      <w:r w:rsidRPr="001F0A61">
        <w:rPr>
          <w:rFonts w:ascii="Times New Roman" w:hAnsi="Times New Roman" w:cs="Times New Roman"/>
          <w:lang w:val="es-EC"/>
        </w:rPr>
        <w:t>)</w:t>
      </w:r>
      <w:r w:rsidRPr="001F0A61">
        <w:rPr>
          <w:rFonts w:ascii="Times New Roman" w:hAnsi="Times New Roman" w:cs="Times New Roman"/>
          <w:lang w:val="es-EC"/>
        </w:rPr>
        <w:t>Tamaño del mercado y composición por regímenes y tipos de compra.</w:t>
      </w:r>
      <w:r w:rsidRPr="001F0A61">
        <w:rPr>
          <w:rFonts w:ascii="Times New Roman" w:hAnsi="Times New Roman" w:cs="Times New Roman"/>
          <w:lang w:val="es-EC"/>
        </w:rPr>
        <w:br/>
        <w:t xml:space="preserve">En 2024 se adjudicaron USD 7.996,3 millones a través de contratación pública. </w:t>
      </w:r>
      <w:r w:rsidRPr="001F0A61">
        <w:rPr>
          <w:rFonts w:ascii="Times New Roman" w:hAnsi="Times New Roman" w:cs="Times New Roman"/>
          <w:lang w:val="es-EC"/>
        </w:rPr>
        <w:t>Por tipos de compra, Servicios representó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el 37,6% (USD 3.005,8 millones), Bienes el 33,8% (USD 2.699,4 millones) y Obras el 21,5% (USD 1.720,3 millones). Las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tres categorías concentran alrededor del 93% del total adjudicado, lo que evidencia una demanda p</w:t>
      </w:r>
      <w:r w:rsidRPr="001F0A61">
        <w:rPr>
          <w:rFonts w:ascii="Times New Roman" w:hAnsi="Times New Roman" w:cs="Times New Roman"/>
          <w:lang w:val="es-EC"/>
        </w:rPr>
        <w:t xml:space="preserve">ública </w:t>
      </w:r>
      <w:proofErr w:type="gramStart"/>
      <w:r w:rsidRPr="001F0A61">
        <w:rPr>
          <w:rFonts w:ascii="Times New Roman" w:hAnsi="Times New Roman" w:cs="Times New Roman"/>
          <w:lang w:val="es-EC"/>
        </w:rPr>
        <w:t>diversificada</w:t>
      </w:r>
      <w:proofErr w:type="gramEnd"/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 xml:space="preserve">pero con fuerte </w:t>
      </w:r>
      <w:r w:rsidRPr="001F0A61">
        <w:rPr>
          <w:rFonts w:ascii="Times New Roman" w:hAnsi="Times New Roman" w:cs="Times New Roman"/>
          <w:lang w:val="es-EC"/>
        </w:rPr>
        <w:lastRenderedPageBreak/>
        <w:t xml:space="preserve">peso en servicios y bienes. Por regímenes, el RC sumó USD 5.532,0 millones adjudicados, el </w:t>
      </w:r>
      <w:proofErr w:type="gramStart"/>
      <w:r w:rsidRPr="001F0A61">
        <w:rPr>
          <w:rFonts w:ascii="Times New Roman" w:hAnsi="Times New Roman" w:cs="Times New Roman"/>
          <w:lang w:val="es-EC"/>
        </w:rPr>
        <w:t>RE USD</w:t>
      </w:r>
      <w:proofErr w:type="gramEnd"/>
      <w:r w:rsidRPr="001F0A61">
        <w:rPr>
          <w:rFonts w:ascii="Times New Roman" w:hAnsi="Times New Roman" w:cs="Times New Roman"/>
          <w:lang w:val="es-EC"/>
        </w:rPr>
        <w:t xml:space="preserve"> 1.342,3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millones y otros procedimientos USD 1.122,1 millones (principalmente Emergencias e Ínfima Cuantía).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F0A61" w:rsidRPr="001F0A61" w14:paraId="3DAC7E53" w14:textId="77777777" w:rsidTr="00CE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98C516D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Tipo</w:t>
            </w:r>
          </w:p>
        </w:tc>
        <w:tc>
          <w:tcPr>
            <w:tcW w:w="2880" w:type="dxa"/>
          </w:tcPr>
          <w:p w14:paraId="671C7506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Adjudica</w:t>
            </w:r>
            <w:r w:rsidRPr="001F0A61">
              <w:rPr>
                <w:rFonts w:ascii="Times New Roman" w:hAnsi="Times New Roman" w:cs="Times New Roman"/>
                <w:color w:val="auto"/>
              </w:rPr>
              <w:t>do_mUSD</w:t>
            </w:r>
          </w:p>
        </w:tc>
        <w:tc>
          <w:tcPr>
            <w:tcW w:w="2880" w:type="dxa"/>
          </w:tcPr>
          <w:p w14:paraId="49C24A62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Participacion_pct</w:t>
            </w:r>
          </w:p>
        </w:tc>
      </w:tr>
      <w:tr w:rsidR="001F0A61" w:rsidRPr="001F0A61" w14:paraId="1E467DF1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76FF23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Servicio</w:t>
            </w:r>
            <w:proofErr w:type="spellEnd"/>
          </w:p>
        </w:tc>
        <w:tc>
          <w:tcPr>
            <w:tcW w:w="2880" w:type="dxa"/>
          </w:tcPr>
          <w:p w14:paraId="7926920A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3,005.8</w:t>
            </w:r>
          </w:p>
        </w:tc>
        <w:tc>
          <w:tcPr>
            <w:tcW w:w="2880" w:type="dxa"/>
          </w:tcPr>
          <w:p w14:paraId="57BD8FE7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37.60</w:t>
            </w:r>
          </w:p>
        </w:tc>
      </w:tr>
      <w:tr w:rsidR="001F0A61" w:rsidRPr="001F0A61" w14:paraId="36DCE38B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5A450B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Bien</w:t>
            </w:r>
          </w:p>
        </w:tc>
        <w:tc>
          <w:tcPr>
            <w:tcW w:w="2880" w:type="dxa"/>
          </w:tcPr>
          <w:p w14:paraId="4F177D34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2,699.4</w:t>
            </w:r>
          </w:p>
        </w:tc>
        <w:tc>
          <w:tcPr>
            <w:tcW w:w="2880" w:type="dxa"/>
          </w:tcPr>
          <w:p w14:paraId="532B154C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33.80</w:t>
            </w:r>
          </w:p>
        </w:tc>
      </w:tr>
      <w:tr w:rsidR="001F0A61" w:rsidRPr="001F0A61" w14:paraId="5ABF64AD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3122AA7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Obra</w:t>
            </w:r>
            <w:proofErr w:type="spellEnd"/>
          </w:p>
        </w:tc>
        <w:tc>
          <w:tcPr>
            <w:tcW w:w="2880" w:type="dxa"/>
          </w:tcPr>
          <w:p w14:paraId="7AFB3CBB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1,720.3</w:t>
            </w:r>
          </w:p>
        </w:tc>
        <w:tc>
          <w:tcPr>
            <w:tcW w:w="2880" w:type="dxa"/>
          </w:tcPr>
          <w:p w14:paraId="1355B9A3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21.50</w:t>
            </w:r>
          </w:p>
        </w:tc>
      </w:tr>
      <w:tr w:rsidR="001F0A61" w:rsidRPr="001F0A61" w14:paraId="064E9CE0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B861F1B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Seguros</w:t>
            </w:r>
            <w:proofErr w:type="spellEnd"/>
          </w:p>
        </w:tc>
        <w:tc>
          <w:tcPr>
            <w:tcW w:w="2880" w:type="dxa"/>
          </w:tcPr>
          <w:p w14:paraId="63643BFA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206.00</w:t>
            </w:r>
          </w:p>
        </w:tc>
        <w:tc>
          <w:tcPr>
            <w:tcW w:w="2880" w:type="dxa"/>
          </w:tcPr>
          <w:p w14:paraId="175DD8B0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2.60</w:t>
            </w:r>
          </w:p>
        </w:tc>
      </w:tr>
      <w:tr w:rsidR="001F0A61" w:rsidRPr="001F0A61" w14:paraId="7B2FCB36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E4F50D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Consultoría</w:t>
            </w:r>
            <w:proofErr w:type="spellEnd"/>
          </w:p>
        </w:tc>
        <w:tc>
          <w:tcPr>
            <w:tcW w:w="2880" w:type="dxa"/>
          </w:tcPr>
          <w:p w14:paraId="3A99A5A0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193.50</w:t>
            </w:r>
          </w:p>
        </w:tc>
        <w:tc>
          <w:tcPr>
            <w:tcW w:w="2880" w:type="dxa"/>
          </w:tcPr>
          <w:p w14:paraId="3373C3EB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2.40</w:t>
            </w:r>
          </w:p>
        </w:tc>
      </w:tr>
      <w:tr w:rsidR="001F0A61" w:rsidRPr="001F0A61" w14:paraId="13C252BF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93C356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Fármacos</w:t>
            </w:r>
            <w:proofErr w:type="spellEnd"/>
          </w:p>
        </w:tc>
        <w:tc>
          <w:tcPr>
            <w:tcW w:w="2880" w:type="dxa"/>
          </w:tcPr>
          <w:p w14:paraId="06B9A9AA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171.30</w:t>
            </w:r>
          </w:p>
        </w:tc>
        <w:tc>
          <w:tcPr>
            <w:tcW w:w="2880" w:type="dxa"/>
          </w:tcPr>
          <w:p w14:paraId="1BAE9622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2.10</w:t>
            </w:r>
          </w:p>
        </w:tc>
      </w:tr>
    </w:tbl>
    <w:p w14:paraId="20ED2C4D" w14:textId="77777777" w:rsidR="00CE4936" w:rsidRPr="001F0A61" w:rsidRDefault="00BC3F55">
      <w:pPr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 xml:space="preserve">Tabla 1. Monto adjudicado por tipo de compra, 2024 (millones USD y % de </w:t>
      </w:r>
      <w:r w:rsidRPr="001F0A61">
        <w:rPr>
          <w:rFonts w:ascii="Times New Roman" w:hAnsi="Times New Roman" w:cs="Times New Roman"/>
          <w:lang w:val="es-EC"/>
        </w:rPr>
        <w:t>participación).</w:t>
      </w:r>
    </w:p>
    <w:p w14:paraId="45C94151" w14:textId="77777777" w:rsidR="00CE4936" w:rsidRPr="001F0A61" w:rsidRDefault="00BC3F55">
      <w:pPr>
        <w:rPr>
          <w:rFonts w:ascii="Times New Roman" w:hAnsi="Times New Roman" w:cs="Times New Roman"/>
        </w:rPr>
      </w:pPr>
      <w:r w:rsidRPr="001F0A61">
        <w:rPr>
          <w:rFonts w:ascii="Times New Roman" w:hAnsi="Times New Roman" w:cs="Times New Roman"/>
          <w:noProof/>
        </w:rPr>
        <w:drawing>
          <wp:inline distT="0" distB="0" distL="0" distR="0" wp14:anchorId="0AD713AA" wp14:editId="781A155B">
            <wp:extent cx="54864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tipo_compr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7D767" w14:textId="77777777" w:rsidR="001F0A61" w:rsidRDefault="00BC3F55" w:rsidP="001F0A61">
      <w:pPr>
        <w:jc w:val="both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>2) Régimen Común: uso intensivo de Catálogo Electrónico y liderazgo de Subasta Inversa Electrónica (SIE) en montos.</w:t>
      </w:r>
    </w:p>
    <w:p w14:paraId="54DB94DE" w14:textId="6149E8E1" w:rsidR="00CE4936" w:rsidRPr="001F0A61" w:rsidRDefault="00BC3F55" w:rsidP="001F0A61">
      <w:pPr>
        <w:jc w:val="both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br/>
        <w:t>El procedimiento más utilizado fue Catálogo Electrónico (212.581 procesos), que aun así representó USD 1.209,2 millones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ad</w:t>
      </w:r>
      <w:r w:rsidRPr="001F0A61">
        <w:rPr>
          <w:rFonts w:ascii="Times New Roman" w:hAnsi="Times New Roman" w:cs="Times New Roman"/>
          <w:lang w:val="es-EC"/>
        </w:rPr>
        <w:t>judicados (21,9% del RC). La SIE, con 19.965 procesos, concentró el mayor monto adjudicado del RC: USD 1.749,3 millones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(31,6% del RC), seguida de Licitación (USD 1.081,9 millones) y Cotización (USD 633,6 millones). El ticket promedio varía</w:t>
      </w:r>
      <w:r w:rsidRPr="001F0A61">
        <w:rPr>
          <w:rFonts w:ascii="Times New Roman" w:hAnsi="Times New Roman" w:cs="Times New Roman"/>
          <w:lang w:val="es-EC"/>
        </w:rPr>
        <w:br/>
        <w:t>de manera susta</w:t>
      </w:r>
      <w:r w:rsidRPr="001F0A61">
        <w:rPr>
          <w:rFonts w:ascii="Times New Roman" w:hAnsi="Times New Roman" w:cs="Times New Roman"/>
          <w:lang w:val="es-EC"/>
        </w:rPr>
        <w:t xml:space="preserve">ntiva entre procedimientos: por ejemplo, SIE supera los 87 mil USD por proceso, mientras que </w:t>
      </w:r>
      <w:proofErr w:type="gramStart"/>
      <w:r w:rsidRPr="001F0A61">
        <w:rPr>
          <w:rFonts w:ascii="Times New Roman" w:hAnsi="Times New Roman" w:cs="Times New Roman"/>
          <w:lang w:val="es-EC"/>
        </w:rPr>
        <w:t xml:space="preserve">Catálogo 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Electrónico</w:t>
      </w:r>
      <w:proofErr w:type="gramEnd"/>
      <w:r w:rsidRPr="001F0A61">
        <w:rPr>
          <w:rFonts w:ascii="Times New Roman" w:hAnsi="Times New Roman" w:cs="Times New Roman"/>
          <w:lang w:val="es-EC"/>
        </w:rPr>
        <w:t xml:space="preserve"> se ubica cerca de 5,7 mil USD por proceso, coherente con su orientación a órdenes frecuentes de menor valor.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1558"/>
        <w:gridCol w:w="1019"/>
        <w:gridCol w:w="2013"/>
        <w:gridCol w:w="2456"/>
        <w:gridCol w:w="1594"/>
      </w:tblGrid>
      <w:tr w:rsidR="001F0A61" w:rsidRPr="001F0A61" w14:paraId="1C28561A" w14:textId="77777777" w:rsidTr="00CE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6EAFDB1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lastRenderedPageBreak/>
              <w:t>Procedimiento</w:t>
            </w:r>
            <w:proofErr w:type="spellEnd"/>
          </w:p>
        </w:tc>
        <w:tc>
          <w:tcPr>
            <w:tcW w:w="1728" w:type="dxa"/>
          </w:tcPr>
          <w:p w14:paraId="00131824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Procesos</w:t>
            </w:r>
          </w:p>
        </w:tc>
        <w:tc>
          <w:tcPr>
            <w:tcW w:w="1728" w:type="dxa"/>
          </w:tcPr>
          <w:p w14:paraId="7791D053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Adjudicad</w:t>
            </w:r>
            <w:r w:rsidRPr="001F0A61">
              <w:rPr>
                <w:rFonts w:ascii="Times New Roman" w:hAnsi="Times New Roman" w:cs="Times New Roman"/>
                <w:color w:val="auto"/>
              </w:rPr>
              <w:t>o_mUSD</w:t>
            </w:r>
          </w:p>
        </w:tc>
        <w:tc>
          <w:tcPr>
            <w:tcW w:w="1728" w:type="dxa"/>
          </w:tcPr>
          <w:p w14:paraId="2FF209A6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Ticket_promedio_kUSD</w:t>
            </w:r>
          </w:p>
        </w:tc>
        <w:tc>
          <w:tcPr>
            <w:tcW w:w="1728" w:type="dxa"/>
          </w:tcPr>
          <w:p w14:paraId="7368F267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Rebaja_mUSD</w:t>
            </w:r>
          </w:p>
        </w:tc>
      </w:tr>
      <w:tr w:rsidR="001F0A61" w:rsidRPr="001F0A61" w14:paraId="4DA71B67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27BE083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Subasta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Inversa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Electrónica</w:t>
            </w:r>
            <w:proofErr w:type="spellEnd"/>
          </w:p>
        </w:tc>
        <w:tc>
          <w:tcPr>
            <w:tcW w:w="1728" w:type="dxa"/>
          </w:tcPr>
          <w:p w14:paraId="7560DCD9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19965</w:t>
            </w:r>
          </w:p>
        </w:tc>
        <w:tc>
          <w:tcPr>
            <w:tcW w:w="1728" w:type="dxa"/>
          </w:tcPr>
          <w:p w14:paraId="20057A2E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1,749.3</w:t>
            </w:r>
          </w:p>
        </w:tc>
        <w:tc>
          <w:tcPr>
            <w:tcW w:w="1728" w:type="dxa"/>
          </w:tcPr>
          <w:p w14:paraId="0D2CE83E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87.60</w:t>
            </w:r>
          </w:p>
        </w:tc>
        <w:tc>
          <w:tcPr>
            <w:tcW w:w="1728" w:type="dxa"/>
          </w:tcPr>
          <w:p w14:paraId="0ED6487A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247.20</w:t>
            </w:r>
          </w:p>
        </w:tc>
      </w:tr>
      <w:tr w:rsidR="001F0A61" w:rsidRPr="001F0A61" w14:paraId="5E2335DE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ED32945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Catálogo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Electrónico</w:t>
            </w:r>
            <w:proofErr w:type="spellEnd"/>
          </w:p>
        </w:tc>
        <w:tc>
          <w:tcPr>
            <w:tcW w:w="1728" w:type="dxa"/>
          </w:tcPr>
          <w:p w14:paraId="25E2F04B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212581</w:t>
            </w:r>
          </w:p>
        </w:tc>
        <w:tc>
          <w:tcPr>
            <w:tcW w:w="1728" w:type="dxa"/>
          </w:tcPr>
          <w:p w14:paraId="0E2937E1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1,209.2</w:t>
            </w:r>
          </w:p>
        </w:tc>
        <w:tc>
          <w:tcPr>
            <w:tcW w:w="1728" w:type="dxa"/>
          </w:tcPr>
          <w:p w14:paraId="5E5162EA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5.70</w:t>
            </w:r>
          </w:p>
        </w:tc>
        <w:tc>
          <w:tcPr>
            <w:tcW w:w="1728" w:type="dxa"/>
          </w:tcPr>
          <w:p w14:paraId="734CA357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38.00</w:t>
            </w:r>
          </w:p>
        </w:tc>
      </w:tr>
      <w:tr w:rsidR="001F0A61" w:rsidRPr="001F0A61" w14:paraId="380838D1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7D669D5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Licitación</w:t>
            </w:r>
            <w:proofErr w:type="spellEnd"/>
          </w:p>
        </w:tc>
        <w:tc>
          <w:tcPr>
            <w:tcW w:w="1728" w:type="dxa"/>
          </w:tcPr>
          <w:p w14:paraId="47A6BE3C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458</w:t>
            </w:r>
          </w:p>
        </w:tc>
        <w:tc>
          <w:tcPr>
            <w:tcW w:w="1728" w:type="dxa"/>
          </w:tcPr>
          <w:p w14:paraId="62DCE3EE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1,081.9</w:t>
            </w:r>
          </w:p>
        </w:tc>
        <w:tc>
          <w:tcPr>
            <w:tcW w:w="1728" w:type="dxa"/>
          </w:tcPr>
          <w:p w14:paraId="4F20FD06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2,362.2</w:t>
            </w:r>
          </w:p>
        </w:tc>
        <w:tc>
          <w:tcPr>
            <w:tcW w:w="1728" w:type="dxa"/>
          </w:tcPr>
          <w:p w14:paraId="3F97A7AC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110.00</w:t>
            </w:r>
          </w:p>
        </w:tc>
      </w:tr>
      <w:tr w:rsidR="001F0A61" w:rsidRPr="001F0A61" w14:paraId="66EF6D33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E7880C5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Cotización</w:t>
            </w:r>
            <w:proofErr w:type="spellEnd"/>
          </w:p>
        </w:tc>
        <w:tc>
          <w:tcPr>
            <w:tcW w:w="1728" w:type="dxa"/>
          </w:tcPr>
          <w:p w14:paraId="5FF0CD0C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2121</w:t>
            </w:r>
          </w:p>
        </w:tc>
        <w:tc>
          <w:tcPr>
            <w:tcW w:w="1728" w:type="dxa"/>
          </w:tcPr>
          <w:p w14:paraId="33F72A24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633.60</w:t>
            </w:r>
          </w:p>
        </w:tc>
        <w:tc>
          <w:tcPr>
            <w:tcW w:w="1728" w:type="dxa"/>
          </w:tcPr>
          <w:p w14:paraId="2C186652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298.70</w:t>
            </w:r>
          </w:p>
        </w:tc>
        <w:tc>
          <w:tcPr>
            <w:tcW w:w="1728" w:type="dxa"/>
          </w:tcPr>
          <w:p w14:paraId="3F1A16F4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55.10</w:t>
            </w:r>
          </w:p>
        </w:tc>
      </w:tr>
      <w:tr w:rsidR="001F0A61" w:rsidRPr="001F0A61" w14:paraId="541A7610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A3D2036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Menor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Cuantía</w:t>
            </w:r>
            <w:proofErr w:type="spellEnd"/>
          </w:p>
        </w:tc>
        <w:tc>
          <w:tcPr>
            <w:tcW w:w="1728" w:type="dxa"/>
          </w:tcPr>
          <w:p w14:paraId="6609738F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5404</w:t>
            </w:r>
          </w:p>
        </w:tc>
        <w:tc>
          <w:tcPr>
            <w:tcW w:w="1728" w:type="dxa"/>
          </w:tcPr>
          <w:p w14:paraId="13A31AC8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304.60</w:t>
            </w:r>
          </w:p>
        </w:tc>
        <w:tc>
          <w:tcPr>
            <w:tcW w:w="1728" w:type="dxa"/>
          </w:tcPr>
          <w:p w14:paraId="7347185C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56.40</w:t>
            </w:r>
          </w:p>
        </w:tc>
        <w:tc>
          <w:tcPr>
            <w:tcW w:w="1728" w:type="dxa"/>
          </w:tcPr>
          <w:p w14:paraId="097E79FC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4.40</w:t>
            </w:r>
          </w:p>
        </w:tc>
      </w:tr>
      <w:tr w:rsidR="001F0A61" w:rsidRPr="001F0A61" w14:paraId="2E270988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6302286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Licitación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de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Seguros</w:t>
            </w:r>
            <w:proofErr w:type="spellEnd"/>
          </w:p>
        </w:tc>
        <w:tc>
          <w:tcPr>
            <w:tcW w:w="1728" w:type="dxa"/>
          </w:tcPr>
          <w:p w14:paraId="4FA938EF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806</w:t>
            </w:r>
          </w:p>
        </w:tc>
        <w:tc>
          <w:tcPr>
            <w:tcW w:w="1728" w:type="dxa"/>
          </w:tcPr>
          <w:p w14:paraId="29FA02E4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202.70</w:t>
            </w:r>
          </w:p>
        </w:tc>
        <w:tc>
          <w:tcPr>
            <w:tcW w:w="1728" w:type="dxa"/>
          </w:tcPr>
          <w:p w14:paraId="774DA50A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251.50</w:t>
            </w:r>
          </w:p>
        </w:tc>
        <w:tc>
          <w:tcPr>
            <w:tcW w:w="1728" w:type="dxa"/>
          </w:tcPr>
          <w:p w14:paraId="78C16405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41.80</w:t>
            </w:r>
          </w:p>
        </w:tc>
      </w:tr>
      <w:tr w:rsidR="001F0A61" w:rsidRPr="001F0A61" w14:paraId="498E3A04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AA567AC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 xml:space="preserve">Ferias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Inclusivas</w:t>
            </w:r>
            <w:proofErr w:type="spellEnd"/>
          </w:p>
        </w:tc>
        <w:tc>
          <w:tcPr>
            <w:tcW w:w="1728" w:type="dxa"/>
          </w:tcPr>
          <w:p w14:paraId="2686ECFB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1672</w:t>
            </w:r>
          </w:p>
        </w:tc>
        <w:tc>
          <w:tcPr>
            <w:tcW w:w="1728" w:type="dxa"/>
          </w:tcPr>
          <w:p w14:paraId="213E1534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175.60</w:t>
            </w:r>
          </w:p>
        </w:tc>
        <w:tc>
          <w:tcPr>
            <w:tcW w:w="1728" w:type="dxa"/>
          </w:tcPr>
          <w:p w14:paraId="65C03252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105.00</w:t>
            </w:r>
          </w:p>
        </w:tc>
        <w:tc>
          <w:tcPr>
            <w:tcW w:w="1728" w:type="dxa"/>
          </w:tcPr>
          <w:p w14:paraId="19576A1B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0.00</w:t>
            </w:r>
          </w:p>
        </w:tc>
      </w:tr>
      <w:tr w:rsidR="001F0A61" w:rsidRPr="001F0A61" w14:paraId="52195348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0548BBC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 xml:space="preserve">Lista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corta</w:t>
            </w:r>
            <w:proofErr w:type="spellEnd"/>
          </w:p>
        </w:tc>
        <w:tc>
          <w:tcPr>
            <w:tcW w:w="1728" w:type="dxa"/>
          </w:tcPr>
          <w:p w14:paraId="768194CB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424</w:t>
            </w:r>
          </w:p>
        </w:tc>
        <w:tc>
          <w:tcPr>
            <w:tcW w:w="1728" w:type="dxa"/>
          </w:tcPr>
          <w:p w14:paraId="6436265B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76.20</w:t>
            </w:r>
          </w:p>
        </w:tc>
        <w:tc>
          <w:tcPr>
            <w:tcW w:w="1728" w:type="dxa"/>
          </w:tcPr>
          <w:p w14:paraId="0C6A5F95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179.70</w:t>
            </w:r>
          </w:p>
        </w:tc>
        <w:tc>
          <w:tcPr>
            <w:tcW w:w="1728" w:type="dxa"/>
          </w:tcPr>
          <w:p w14:paraId="67E18788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2.50</w:t>
            </w:r>
          </w:p>
        </w:tc>
      </w:tr>
      <w:tr w:rsidR="001F0A61" w:rsidRPr="001F0A61" w14:paraId="1433AF47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09CDA0F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Contratación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directa</w:t>
            </w:r>
            <w:proofErr w:type="spellEnd"/>
          </w:p>
        </w:tc>
        <w:tc>
          <w:tcPr>
            <w:tcW w:w="1728" w:type="dxa"/>
          </w:tcPr>
          <w:p w14:paraId="0C663051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3125</w:t>
            </w:r>
          </w:p>
        </w:tc>
        <w:tc>
          <w:tcPr>
            <w:tcW w:w="1728" w:type="dxa"/>
          </w:tcPr>
          <w:p w14:paraId="4758561D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73.80</w:t>
            </w:r>
          </w:p>
        </w:tc>
        <w:tc>
          <w:tcPr>
            <w:tcW w:w="1728" w:type="dxa"/>
          </w:tcPr>
          <w:p w14:paraId="22EC6357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23.60</w:t>
            </w:r>
          </w:p>
        </w:tc>
        <w:tc>
          <w:tcPr>
            <w:tcW w:w="1728" w:type="dxa"/>
          </w:tcPr>
          <w:p w14:paraId="61ABBB0C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0.70</w:t>
            </w:r>
          </w:p>
        </w:tc>
      </w:tr>
      <w:tr w:rsidR="001F0A61" w:rsidRPr="001F0A61" w14:paraId="05CA3FFB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DD7EA32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Concurso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Público</w:t>
            </w:r>
            <w:proofErr w:type="spellEnd"/>
          </w:p>
        </w:tc>
        <w:tc>
          <w:tcPr>
            <w:tcW w:w="1728" w:type="dxa"/>
          </w:tcPr>
          <w:p w14:paraId="7F404ADD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1728" w:type="dxa"/>
          </w:tcPr>
          <w:p w14:paraId="60850428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24.90</w:t>
            </w:r>
          </w:p>
        </w:tc>
        <w:tc>
          <w:tcPr>
            <w:tcW w:w="1728" w:type="dxa"/>
          </w:tcPr>
          <w:p w14:paraId="69FD66BE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778.10</w:t>
            </w:r>
          </w:p>
        </w:tc>
        <w:tc>
          <w:tcPr>
            <w:tcW w:w="1728" w:type="dxa"/>
          </w:tcPr>
          <w:p w14:paraId="395B7CA9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3.00</w:t>
            </w:r>
          </w:p>
        </w:tc>
      </w:tr>
    </w:tbl>
    <w:p w14:paraId="3B0538D4" w14:textId="77777777" w:rsidR="00CE4936" w:rsidRPr="001F0A61" w:rsidRDefault="00BC3F55">
      <w:pPr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 xml:space="preserve">Tabla 2. Régimen Común: </w:t>
      </w:r>
      <w:r w:rsidRPr="001F0A61">
        <w:rPr>
          <w:rFonts w:ascii="Times New Roman" w:hAnsi="Times New Roman" w:cs="Times New Roman"/>
          <w:lang w:val="es-EC"/>
        </w:rPr>
        <w:t xml:space="preserve">procesos, monto adjudicado, </w:t>
      </w:r>
      <w:proofErr w:type="gramStart"/>
      <w:r w:rsidRPr="001F0A61">
        <w:rPr>
          <w:rFonts w:ascii="Times New Roman" w:hAnsi="Times New Roman" w:cs="Times New Roman"/>
          <w:lang w:val="es-EC"/>
        </w:rPr>
        <w:t>ticket</w:t>
      </w:r>
      <w:proofErr w:type="gramEnd"/>
      <w:r w:rsidRPr="001F0A61">
        <w:rPr>
          <w:rFonts w:ascii="Times New Roman" w:hAnsi="Times New Roman" w:cs="Times New Roman"/>
          <w:lang w:val="es-EC"/>
        </w:rPr>
        <w:t xml:space="preserve"> promedio y rebaja (2024).</w:t>
      </w:r>
    </w:p>
    <w:p w14:paraId="52620324" w14:textId="77777777" w:rsidR="00CE4936" w:rsidRPr="001F0A61" w:rsidRDefault="00BC3F55">
      <w:pPr>
        <w:rPr>
          <w:rFonts w:ascii="Times New Roman" w:hAnsi="Times New Roman" w:cs="Times New Roman"/>
        </w:rPr>
      </w:pPr>
      <w:r w:rsidRPr="001F0A61">
        <w:rPr>
          <w:rFonts w:ascii="Times New Roman" w:hAnsi="Times New Roman" w:cs="Times New Roman"/>
          <w:noProof/>
        </w:rPr>
        <w:drawing>
          <wp:inline distT="0" distB="0" distL="0" distR="0" wp14:anchorId="1BB23FE9" wp14:editId="204A7B94">
            <wp:extent cx="5486400" cy="3086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rc_monto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6C06" w14:textId="77777777" w:rsidR="00CE4936" w:rsidRPr="001F0A61" w:rsidRDefault="00BC3F55">
      <w:pPr>
        <w:rPr>
          <w:rFonts w:ascii="Times New Roman" w:hAnsi="Times New Roman" w:cs="Times New Roman"/>
        </w:rPr>
      </w:pPr>
      <w:r w:rsidRPr="001F0A6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4739D80" wp14:editId="426E354E">
            <wp:extent cx="5486400" cy="3086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rc_proceso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FE3E4" w14:textId="77777777" w:rsidR="00CE4936" w:rsidRPr="001F0A61" w:rsidRDefault="00BC3F55">
      <w:pPr>
        <w:rPr>
          <w:rFonts w:ascii="Times New Roman" w:hAnsi="Times New Roman" w:cs="Times New Roman"/>
        </w:rPr>
      </w:pPr>
      <w:r w:rsidRPr="001F0A61">
        <w:rPr>
          <w:rFonts w:ascii="Times New Roman" w:hAnsi="Times New Roman" w:cs="Times New Roman"/>
          <w:noProof/>
        </w:rPr>
        <w:drawing>
          <wp:inline distT="0" distB="0" distL="0" distR="0" wp14:anchorId="18FFCA34" wp14:editId="27FCF0B4">
            <wp:extent cx="4572000" cy="304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rc_rebaja_his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9FCA7" w14:textId="77777777" w:rsidR="001F0A61" w:rsidRDefault="00BC3F55" w:rsidP="001F0A61">
      <w:pPr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>3) Régimen Especial y otros procedimientos.</w:t>
      </w:r>
    </w:p>
    <w:p w14:paraId="52568721" w14:textId="7ACB29A8" w:rsidR="00CE4936" w:rsidRDefault="00BC3F55" w:rsidP="001F0A61">
      <w:pPr>
        <w:jc w:val="both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br/>
        <w:t>En el RE destacaron Contratación Interadministrativa (USD 432,4 millones) y Publicación Especial (USD 402,1 millones).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En “Otros procedimientos”,</w:t>
      </w:r>
      <w:r w:rsidRPr="001F0A61">
        <w:rPr>
          <w:rFonts w:ascii="Times New Roman" w:hAnsi="Times New Roman" w:cs="Times New Roman"/>
          <w:lang w:val="es-EC"/>
        </w:rPr>
        <w:t xml:space="preserve"> Emergencias acumuló USD 856,7 millones con apenas 161 procesos, lo que revela altos </w:t>
      </w:r>
      <w:proofErr w:type="gramStart"/>
      <w:r w:rsidRPr="001F0A61">
        <w:rPr>
          <w:rFonts w:ascii="Times New Roman" w:hAnsi="Times New Roman" w:cs="Times New Roman"/>
          <w:lang w:val="es-EC"/>
        </w:rPr>
        <w:t>tickets</w:t>
      </w:r>
      <w:proofErr w:type="gramEnd"/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promedio y la necesidad de capacidades de respuesta y cumplimiento normativo por parte de los proveedores ante eventos</w:t>
      </w:r>
      <w:r w:rsidRPr="001F0A61">
        <w:rPr>
          <w:rFonts w:ascii="Times New Roman" w:hAnsi="Times New Roman" w:cs="Times New Roman"/>
          <w:lang w:val="es-EC"/>
        </w:rPr>
        <w:br/>
        <w:t>críticos. Ínfima Cuantía, en cambio, registr</w:t>
      </w:r>
      <w:r w:rsidRPr="001F0A61">
        <w:rPr>
          <w:rFonts w:ascii="Times New Roman" w:hAnsi="Times New Roman" w:cs="Times New Roman"/>
          <w:lang w:val="es-EC"/>
        </w:rPr>
        <w:t>ó 194.656 procesos por USD 240,0 millones, un patrón de altísimo volumen y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bajo valor unitario que exige automatización operativa si se quiere capturar este segmento con eficiencia.</w:t>
      </w:r>
    </w:p>
    <w:p w14:paraId="701F45F1" w14:textId="77777777" w:rsidR="001F0A61" w:rsidRPr="001F0A61" w:rsidRDefault="001F0A61">
      <w:pPr>
        <w:rPr>
          <w:rFonts w:ascii="Times New Roman" w:hAnsi="Times New Roman" w:cs="Times New Roman"/>
          <w:lang w:val="es-EC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2733"/>
        <w:gridCol w:w="1870"/>
        <w:gridCol w:w="2132"/>
        <w:gridCol w:w="1905"/>
      </w:tblGrid>
      <w:tr w:rsidR="001F0A61" w:rsidRPr="001F0A61" w14:paraId="589602FF" w14:textId="77777777" w:rsidTr="00CE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C8AED01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Procedimiento</w:t>
            </w:r>
            <w:proofErr w:type="spellEnd"/>
          </w:p>
        </w:tc>
        <w:tc>
          <w:tcPr>
            <w:tcW w:w="2160" w:type="dxa"/>
          </w:tcPr>
          <w:p w14:paraId="58B32E68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Procesos</w:t>
            </w:r>
          </w:p>
        </w:tc>
        <w:tc>
          <w:tcPr>
            <w:tcW w:w="2160" w:type="dxa"/>
          </w:tcPr>
          <w:p w14:paraId="6D082CF6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Adjudicado_mUSD</w:t>
            </w:r>
          </w:p>
        </w:tc>
        <w:tc>
          <w:tcPr>
            <w:tcW w:w="2160" w:type="dxa"/>
          </w:tcPr>
          <w:p w14:paraId="6DB1C9C2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Share_pct</w:t>
            </w:r>
          </w:p>
        </w:tc>
      </w:tr>
      <w:tr w:rsidR="001F0A61" w:rsidRPr="001F0A61" w14:paraId="58585E48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DFDE3A8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Contratación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Interadministrativa</w:t>
            </w:r>
            <w:proofErr w:type="spellEnd"/>
          </w:p>
        </w:tc>
        <w:tc>
          <w:tcPr>
            <w:tcW w:w="2160" w:type="dxa"/>
          </w:tcPr>
          <w:p w14:paraId="60135089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1035</w:t>
            </w:r>
          </w:p>
        </w:tc>
        <w:tc>
          <w:tcPr>
            <w:tcW w:w="2160" w:type="dxa"/>
          </w:tcPr>
          <w:p w14:paraId="600593ED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432.40</w:t>
            </w:r>
          </w:p>
        </w:tc>
        <w:tc>
          <w:tcPr>
            <w:tcW w:w="2160" w:type="dxa"/>
          </w:tcPr>
          <w:p w14:paraId="5108C41D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32.21</w:t>
            </w:r>
          </w:p>
        </w:tc>
      </w:tr>
      <w:tr w:rsidR="001F0A61" w:rsidRPr="001F0A61" w14:paraId="7C7D01FB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125D083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Publicación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Especial</w:t>
            </w:r>
          </w:p>
        </w:tc>
        <w:tc>
          <w:tcPr>
            <w:tcW w:w="2160" w:type="dxa"/>
          </w:tcPr>
          <w:p w14:paraId="32BD220F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2965</w:t>
            </w:r>
          </w:p>
        </w:tc>
        <w:tc>
          <w:tcPr>
            <w:tcW w:w="2160" w:type="dxa"/>
          </w:tcPr>
          <w:p w14:paraId="1CD06594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402.10</w:t>
            </w:r>
          </w:p>
        </w:tc>
        <w:tc>
          <w:tcPr>
            <w:tcW w:w="2160" w:type="dxa"/>
          </w:tcPr>
          <w:p w14:paraId="01D5A73A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29.96</w:t>
            </w:r>
          </w:p>
        </w:tc>
      </w:tr>
      <w:tr w:rsidR="001F0A61" w:rsidRPr="001F0A61" w14:paraId="55ED09CC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2C1F6F1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Bienes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y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Servicios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únicos</w:t>
            </w:r>
            <w:proofErr w:type="spellEnd"/>
          </w:p>
        </w:tc>
        <w:tc>
          <w:tcPr>
            <w:tcW w:w="2160" w:type="dxa"/>
          </w:tcPr>
          <w:p w14:paraId="462B5697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1674</w:t>
            </w:r>
          </w:p>
        </w:tc>
        <w:tc>
          <w:tcPr>
            <w:tcW w:w="2160" w:type="dxa"/>
          </w:tcPr>
          <w:p w14:paraId="07A5ACEF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269.50</w:t>
            </w:r>
          </w:p>
        </w:tc>
        <w:tc>
          <w:tcPr>
            <w:tcW w:w="2160" w:type="dxa"/>
          </w:tcPr>
          <w:p w14:paraId="79E80AA3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20.08</w:t>
            </w:r>
          </w:p>
        </w:tc>
      </w:tr>
      <w:tr w:rsidR="001F0A61" w:rsidRPr="001F0A61" w14:paraId="72A37143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19DB73F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Contrataciones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con EP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internacionales</w:t>
            </w:r>
            <w:proofErr w:type="spellEnd"/>
          </w:p>
        </w:tc>
        <w:tc>
          <w:tcPr>
            <w:tcW w:w="2160" w:type="dxa"/>
          </w:tcPr>
          <w:p w14:paraId="1A8BA117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160" w:type="dxa"/>
          </w:tcPr>
          <w:p w14:paraId="79AFA17B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92.40</w:t>
            </w:r>
          </w:p>
        </w:tc>
        <w:tc>
          <w:tcPr>
            <w:tcW w:w="2160" w:type="dxa"/>
          </w:tcPr>
          <w:p w14:paraId="61D2E4E1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6.88</w:t>
            </w:r>
          </w:p>
        </w:tc>
      </w:tr>
      <w:tr w:rsidR="001F0A61" w:rsidRPr="001F0A61" w14:paraId="442D8D21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33D1C44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Repuestos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o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Accesorios</w:t>
            </w:r>
            <w:proofErr w:type="spellEnd"/>
          </w:p>
        </w:tc>
        <w:tc>
          <w:tcPr>
            <w:tcW w:w="2160" w:type="dxa"/>
          </w:tcPr>
          <w:p w14:paraId="5A72192B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548</w:t>
            </w:r>
          </w:p>
        </w:tc>
        <w:tc>
          <w:tcPr>
            <w:tcW w:w="2160" w:type="dxa"/>
          </w:tcPr>
          <w:p w14:paraId="663C76DD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55.10</w:t>
            </w:r>
          </w:p>
        </w:tc>
        <w:tc>
          <w:tcPr>
            <w:tcW w:w="2160" w:type="dxa"/>
          </w:tcPr>
          <w:p w14:paraId="38A8F0E0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4.10</w:t>
            </w:r>
          </w:p>
        </w:tc>
      </w:tr>
      <w:tr w:rsidR="001F0A61" w:rsidRPr="001F0A61" w14:paraId="44D9E883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28BF6F8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Comunicación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Social</w:t>
            </w:r>
          </w:p>
        </w:tc>
        <w:tc>
          <w:tcPr>
            <w:tcW w:w="2160" w:type="dxa"/>
          </w:tcPr>
          <w:p w14:paraId="6E8E429C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1197</w:t>
            </w:r>
          </w:p>
        </w:tc>
        <w:tc>
          <w:tcPr>
            <w:tcW w:w="2160" w:type="dxa"/>
          </w:tcPr>
          <w:p w14:paraId="629E558D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55.00</w:t>
            </w:r>
          </w:p>
        </w:tc>
        <w:tc>
          <w:tcPr>
            <w:tcW w:w="2160" w:type="dxa"/>
          </w:tcPr>
          <w:p w14:paraId="6F44FE3A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4.10</w:t>
            </w:r>
          </w:p>
        </w:tc>
      </w:tr>
      <w:tr w:rsidR="001F0A61" w:rsidRPr="001F0A61" w14:paraId="376E4EC3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6B9C3BA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Obra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artística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científica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literaria</w:t>
            </w:r>
            <w:proofErr w:type="spellEnd"/>
          </w:p>
        </w:tc>
        <w:tc>
          <w:tcPr>
            <w:tcW w:w="2160" w:type="dxa"/>
          </w:tcPr>
          <w:p w14:paraId="4F96A41D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481</w:t>
            </w:r>
          </w:p>
        </w:tc>
        <w:tc>
          <w:tcPr>
            <w:tcW w:w="2160" w:type="dxa"/>
          </w:tcPr>
          <w:p w14:paraId="6122DBF4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21.70</w:t>
            </w:r>
          </w:p>
        </w:tc>
        <w:tc>
          <w:tcPr>
            <w:tcW w:w="2160" w:type="dxa"/>
          </w:tcPr>
          <w:p w14:paraId="115CFD4E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1.62</w:t>
            </w:r>
          </w:p>
        </w:tc>
      </w:tr>
      <w:tr w:rsidR="001F0A61" w:rsidRPr="001F0A61" w14:paraId="0EA49D36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DD055E0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F0A61">
              <w:rPr>
                <w:rFonts w:ascii="Times New Roman" w:hAnsi="Times New Roman" w:cs="Times New Roman"/>
                <w:color w:val="auto"/>
                <w:lang w:val="es-EC"/>
              </w:rPr>
              <w:t>Giro específico del negocio de EP</w:t>
            </w:r>
          </w:p>
        </w:tc>
        <w:tc>
          <w:tcPr>
            <w:tcW w:w="2160" w:type="dxa"/>
          </w:tcPr>
          <w:p w14:paraId="5C7B2D58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38</w:t>
            </w:r>
          </w:p>
        </w:tc>
        <w:tc>
          <w:tcPr>
            <w:tcW w:w="2160" w:type="dxa"/>
          </w:tcPr>
          <w:p w14:paraId="7C8760EE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9.20</w:t>
            </w:r>
          </w:p>
        </w:tc>
        <w:tc>
          <w:tcPr>
            <w:tcW w:w="2160" w:type="dxa"/>
          </w:tcPr>
          <w:p w14:paraId="709E941A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0.69</w:t>
            </w:r>
          </w:p>
        </w:tc>
      </w:tr>
      <w:tr w:rsidR="001F0A61" w:rsidRPr="001F0A61" w14:paraId="61886095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C2FEC85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F0A61">
              <w:rPr>
                <w:rFonts w:ascii="Times New Roman" w:hAnsi="Times New Roman" w:cs="Times New Roman"/>
                <w:color w:val="auto"/>
                <w:lang w:val="es-EC"/>
              </w:rPr>
              <w:t>Transporte de correo (interno/internacional)</w:t>
            </w:r>
          </w:p>
        </w:tc>
        <w:tc>
          <w:tcPr>
            <w:tcW w:w="2160" w:type="dxa"/>
          </w:tcPr>
          <w:p w14:paraId="3591843B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2160" w:type="dxa"/>
          </w:tcPr>
          <w:p w14:paraId="2A8AA413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2.50</w:t>
            </w:r>
          </w:p>
        </w:tc>
        <w:tc>
          <w:tcPr>
            <w:tcW w:w="2160" w:type="dxa"/>
          </w:tcPr>
          <w:p w14:paraId="23C5422C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0.19</w:t>
            </w:r>
          </w:p>
        </w:tc>
      </w:tr>
      <w:tr w:rsidR="001F0A61" w:rsidRPr="001F0A61" w14:paraId="48558761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7EE22B9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Asesoría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y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Patrocinio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Jurídico</w:t>
            </w:r>
            <w:proofErr w:type="spellEnd"/>
          </w:p>
        </w:tc>
        <w:tc>
          <w:tcPr>
            <w:tcW w:w="2160" w:type="dxa"/>
          </w:tcPr>
          <w:p w14:paraId="15B6F0F2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49</w:t>
            </w:r>
          </w:p>
        </w:tc>
        <w:tc>
          <w:tcPr>
            <w:tcW w:w="2160" w:type="dxa"/>
          </w:tcPr>
          <w:p w14:paraId="2646304F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2.40</w:t>
            </w:r>
          </w:p>
        </w:tc>
        <w:tc>
          <w:tcPr>
            <w:tcW w:w="2160" w:type="dxa"/>
          </w:tcPr>
          <w:p w14:paraId="6DB8099C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0.18</w:t>
            </w:r>
          </w:p>
        </w:tc>
      </w:tr>
    </w:tbl>
    <w:p w14:paraId="143768AF" w14:textId="77777777" w:rsidR="00CE4936" w:rsidRPr="001F0A61" w:rsidRDefault="00BC3F55">
      <w:pPr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 xml:space="preserve">Tabla 3. Régimen Especial: procesos, monto </w:t>
      </w:r>
      <w:r w:rsidRPr="001F0A61">
        <w:rPr>
          <w:rFonts w:ascii="Times New Roman" w:hAnsi="Times New Roman" w:cs="Times New Roman"/>
          <w:lang w:val="es-EC"/>
        </w:rPr>
        <w:t>adjudicado y participación sobre el total del RE (2024).</w:t>
      </w:r>
    </w:p>
    <w:p w14:paraId="2CB7D040" w14:textId="77777777" w:rsidR="00CE4936" w:rsidRPr="001F0A61" w:rsidRDefault="00BC3F55">
      <w:pPr>
        <w:rPr>
          <w:rFonts w:ascii="Times New Roman" w:hAnsi="Times New Roman" w:cs="Times New Roman"/>
        </w:rPr>
      </w:pPr>
      <w:r w:rsidRPr="001F0A61">
        <w:rPr>
          <w:rFonts w:ascii="Times New Roman" w:hAnsi="Times New Roman" w:cs="Times New Roman"/>
          <w:noProof/>
        </w:rPr>
        <w:drawing>
          <wp:inline distT="0" distB="0" distL="0" distR="0" wp14:anchorId="2DAAEBA1" wp14:editId="111E48D9">
            <wp:extent cx="5486400" cy="3086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re_monto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F0A61" w:rsidRPr="001F0A61" w14:paraId="313AFD14" w14:textId="77777777" w:rsidTr="00CE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2BCF674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Procedimiento</w:t>
            </w:r>
          </w:p>
        </w:tc>
        <w:tc>
          <w:tcPr>
            <w:tcW w:w="2160" w:type="dxa"/>
          </w:tcPr>
          <w:p w14:paraId="46477364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Procesos</w:t>
            </w:r>
          </w:p>
        </w:tc>
        <w:tc>
          <w:tcPr>
            <w:tcW w:w="2160" w:type="dxa"/>
          </w:tcPr>
          <w:p w14:paraId="3E22A675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Adjudicado_mUSD</w:t>
            </w:r>
          </w:p>
        </w:tc>
        <w:tc>
          <w:tcPr>
            <w:tcW w:w="2160" w:type="dxa"/>
          </w:tcPr>
          <w:p w14:paraId="5258BC41" w14:textId="77777777" w:rsidR="00CE4936" w:rsidRPr="001F0A61" w:rsidRDefault="00BC3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Share_pct</w:t>
            </w:r>
          </w:p>
        </w:tc>
      </w:tr>
      <w:tr w:rsidR="001F0A61" w:rsidRPr="001F0A61" w14:paraId="755F1965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F0BBE95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Emergencias</w:t>
            </w:r>
            <w:proofErr w:type="spellEnd"/>
          </w:p>
        </w:tc>
        <w:tc>
          <w:tcPr>
            <w:tcW w:w="2160" w:type="dxa"/>
          </w:tcPr>
          <w:p w14:paraId="409B3D8F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161</w:t>
            </w:r>
          </w:p>
        </w:tc>
        <w:tc>
          <w:tcPr>
            <w:tcW w:w="2160" w:type="dxa"/>
          </w:tcPr>
          <w:p w14:paraId="1E957237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856.70</w:t>
            </w:r>
          </w:p>
        </w:tc>
        <w:tc>
          <w:tcPr>
            <w:tcW w:w="2160" w:type="dxa"/>
          </w:tcPr>
          <w:p w14:paraId="664B6498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76.35</w:t>
            </w:r>
          </w:p>
        </w:tc>
      </w:tr>
      <w:tr w:rsidR="001F0A61" w:rsidRPr="001F0A61" w14:paraId="4E76E9B8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C5E3366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Ínfima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Cuantía</w:t>
            </w:r>
            <w:proofErr w:type="spellEnd"/>
          </w:p>
        </w:tc>
        <w:tc>
          <w:tcPr>
            <w:tcW w:w="2160" w:type="dxa"/>
          </w:tcPr>
          <w:p w14:paraId="24E6A5B3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194656</w:t>
            </w:r>
          </w:p>
        </w:tc>
        <w:tc>
          <w:tcPr>
            <w:tcW w:w="2160" w:type="dxa"/>
          </w:tcPr>
          <w:p w14:paraId="3F6F8F1B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240.00</w:t>
            </w:r>
          </w:p>
        </w:tc>
        <w:tc>
          <w:tcPr>
            <w:tcW w:w="2160" w:type="dxa"/>
          </w:tcPr>
          <w:p w14:paraId="35D1D8CC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21.39</w:t>
            </w:r>
          </w:p>
        </w:tc>
      </w:tr>
      <w:tr w:rsidR="001F0A61" w:rsidRPr="001F0A61" w14:paraId="39BF90C4" w14:textId="77777777" w:rsidTr="00CE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F108FE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Arrendamiento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de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bienes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inmuebles</w:t>
            </w:r>
            <w:proofErr w:type="spellEnd"/>
          </w:p>
        </w:tc>
        <w:tc>
          <w:tcPr>
            <w:tcW w:w="2160" w:type="dxa"/>
          </w:tcPr>
          <w:p w14:paraId="33F2C740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955</w:t>
            </w:r>
          </w:p>
        </w:tc>
        <w:tc>
          <w:tcPr>
            <w:tcW w:w="2160" w:type="dxa"/>
          </w:tcPr>
          <w:p w14:paraId="03D2A6F7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18.10</w:t>
            </w:r>
          </w:p>
        </w:tc>
        <w:tc>
          <w:tcPr>
            <w:tcW w:w="2160" w:type="dxa"/>
          </w:tcPr>
          <w:p w14:paraId="435BF47F" w14:textId="77777777" w:rsidR="00CE4936" w:rsidRPr="001F0A61" w:rsidRDefault="00BC3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1.61</w:t>
            </w:r>
          </w:p>
        </w:tc>
      </w:tr>
      <w:tr w:rsidR="001F0A61" w:rsidRPr="001F0A61" w14:paraId="3D8037FA" w14:textId="77777777" w:rsidTr="00CE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52186E0" w14:textId="77777777" w:rsidR="00CE4936" w:rsidRPr="001F0A61" w:rsidRDefault="00BC3F5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Adquisición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de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bienes</w:t>
            </w:r>
            <w:proofErr w:type="spellEnd"/>
            <w:r w:rsidRPr="001F0A6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F0A61">
              <w:rPr>
                <w:rFonts w:ascii="Times New Roman" w:hAnsi="Times New Roman" w:cs="Times New Roman"/>
                <w:color w:val="auto"/>
              </w:rPr>
              <w:t>inmuebles</w:t>
            </w:r>
            <w:proofErr w:type="spellEnd"/>
          </w:p>
        </w:tc>
        <w:tc>
          <w:tcPr>
            <w:tcW w:w="2160" w:type="dxa"/>
          </w:tcPr>
          <w:p w14:paraId="723FE06A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2160" w:type="dxa"/>
          </w:tcPr>
          <w:p w14:paraId="179146AF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7.20</w:t>
            </w:r>
          </w:p>
        </w:tc>
        <w:tc>
          <w:tcPr>
            <w:tcW w:w="2160" w:type="dxa"/>
          </w:tcPr>
          <w:p w14:paraId="3B516AEF" w14:textId="77777777" w:rsidR="00CE4936" w:rsidRPr="001F0A61" w:rsidRDefault="00BC3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F0A61">
              <w:rPr>
                <w:rFonts w:ascii="Times New Roman" w:hAnsi="Times New Roman" w:cs="Times New Roman"/>
                <w:color w:val="auto"/>
              </w:rPr>
              <w:t>0.64</w:t>
            </w:r>
          </w:p>
        </w:tc>
      </w:tr>
    </w:tbl>
    <w:p w14:paraId="7AF053E6" w14:textId="77777777" w:rsidR="00CE4936" w:rsidRPr="001F0A61" w:rsidRDefault="00BC3F55">
      <w:pPr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>Tabla 4. Otros procedimientos: procesos, monto adjudicado y participación sobre el total (2024).</w:t>
      </w:r>
    </w:p>
    <w:p w14:paraId="3C7988D1" w14:textId="77777777" w:rsidR="001F0A61" w:rsidRDefault="00BC3F55">
      <w:pPr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lastRenderedPageBreak/>
        <w:t>4) Asociación entre variables (Spearman).</w:t>
      </w:r>
    </w:p>
    <w:p w14:paraId="70CF95D6" w14:textId="6F8F782F" w:rsidR="00CE4936" w:rsidRDefault="00BC3F55" w:rsidP="001F0A61">
      <w:pPr>
        <w:jc w:val="both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br/>
        <w:t>Se exploró la relación entre (a) número de procesos y monto adjudicado por tipo de procedimie</w:t>
      </w:r>
      <w:r w:rsidRPr="001F0A61">
        <w:rPr>
          <w:rFonts w:ascii="Times New Roman" w:hAnsi="Times New Roman" w:cs="Times New Roman"/>
          <w:lang w:val="es-EC"/>
        </w:rPr>
        <w:t>nto del RC, y (b) presupuesto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 xml:space="preserve">y rebaja presupuestaria en el RC. El coeficiente de Spearman para procesos vs. monto adjudicado fue </w:t>
      </w:r>
      <w:r w:rsidRPr="001F0A61">
        <w:rPr>
          <w:rFonts w:ascii="Times New Roman" w:hAnsi="Times New Roman" w:cs="Times New Roman"/>
          <w:lang w:val="es-EC"/>
        </w:rPr>
        <w:t xml:space="preserve">0.64. El signo positivo indica que, en el agregado, los procedimientos con más procesos tienden a </w:t>
      </w:r>
      <w:r w:rsidRPr="001F0A61">
        <w:rPr>
          <w:rFonts w:ascii="Times New Roman" w:hAnsi="Times New Roman" w:cs="Times New Roman"/>
          <w:lang w:val="es-EC"/>
        </w:rPr>
        <w:t>explicar mayor monto adjud</w:t>
      </w:r>
      <w:r w:rsidRPr="001F0A61">
        <w:rPr>
          <w:rFonts w:ascii="Times New Roman" w:hAnsi="Times New Roman" w:cs="Times New Roman"/>
          <w:lang w:val="es-EC"/>
        </w:rPr>
        <w:t xml:space="preserve">icado, aunque la fuerza es moderada por la asimetría introducida por Catálogo Electrónico </w:t>
      </w:r>
      <w:r w:rsidRPr="001F0A61">
        <w:rPr>
          <w:rFonts w:ascii="Times New Roman" w:hAnsi="Times New Roman" w:cs="Times New Roman"/>
          <w:lang w:val="es-EC"/>
        </w:rPr>
        <w:t xml:space="preserve">(muchos procesos de bajo </w:t>
      </w:r>
      <w:proofErr w:type="gramStart"/>
      <w:r w:rsidRPr="001F0A61">
        <w:rPr>
          <w:rFonts w:ascii="Times New Roman" w:hAnsi="Times New Roman" w:cs="Times New Roman"/>
          <w:lang w:val="es-EC"/>
        </w:rPr>
        <w:t>ticket</w:t>
      </w:r>
      <w:proofErr w:type="gramEnd"/>
      <w:r w:rsidRPr="001F0A61">
        <w:rPr>
          <w:rFonts w:ascii="Times New Roman" w:hAnsi="Times New Roman" w:cs="Times New Roman"/>
          <w:lang w:val="es-EC"/>
        </w:rPr>
        <w:t xml:space="preserve">) y SIE (menos procesos de alto ticket). Para presupuesto vs. rebaja se obtuvo un </w:t>
      </w:r>
      <w:r w:rsidRPr="001F0A61">
        <w:rPr>
          <w:rFonts w:ascii="Times New Roman" w:hAnsi="Times New Roman" w:cs="Times New Roman"/>
          <w:lang w:val="es-EC"/>
        </w:rPr>
        <w:t>coeficiente de Spearman de 0.79, consistente con la</w:t>
      </w:r>
      <w:r w:rsidRPr="001F0A61">
        <w:rPr>
          <w:rFonts w:ascii="Times New Roman" w:hAnsi="Times New Roman" w:cs="Times New Roman"/>
          <w:lang w:val="es-EC"/>
        </w:rPr>
        <w:t xml:space="preserve"> lógica de que presupuestos mayores generan rebajas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absolutas también mayores (en términos monetarios), guardando, no obstante, heterogeneidad por procedimiento.</w:t>
      </w:r>
    </w:p>
    <w:p w14:paraId="6E02A752" w14:textId="77777777" w:rsidR="001F0A61" w:rsidRPr="001F0A61" w:rsidRDefault="001F0A61" w:rsidP="001F0A61">
      <w:pPr>
        <w:jc w:val="both"/>
        <w:rPr>
          <w:rFonts w:ascii="Times New Roman" w:hAnsi="Times New Roman" w:cs="Times New Roman"/>
          <w:lang w:val="es-EC"/>
        </w:rPr>
      </w:pPr>
    </w:p>
    <w:p w14:paraId="1CB6FC7B" w14:textId="77777777" w:rsidR="001F0A61" w:rsidRDefault="00BC3F55" w:rsidP="001F0A61">
      <w:pPr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>Discusión y limitaciones.</w:t>
      </w:r>
    </w:p>
    <w:p w14:paraId="66B43989" w14:textId="3698BDD2" w:rsidR="00CE4936" w:rsidRPr="001F0A61" w:rsidRDefault="00BC3F55" w:rsidP="001F0A61">
      <w:pPr>
        <w:jc w:val="both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br/>
        <w:t xml:space="preserve">Los hallazgos son consistentes con la arquitectura institucional de </w:t>
      </w:r>
      <w:r w:rsidRPr="001F0A61">
        <w:rPr>
          <w:rFonts w:ascii="Times New Roman" w:hAnsi="Times New Roman" w:cs="Times New Roman"/>
          <w:lang w:val="es-EC"/>
        </w:rPr>
        <w:t xml:space="preserve">la contratación pública en Ecuador y con patrones </w:t>
      </w:r>
      <w:r w:rsidRPr="001F0A61">
        <w:rPr>
          <w:rFonts w:ascii="Times New Roman" w:hAnsi="Times New Roman" w:cs="Times New Roman"/>
          <w:lang w:val="es-EC"/>
        </w:rPr>
        <w:t>observados internacionalmente: procedimientos con automatización y estandarización (catálogos) habilitan altos volúmenes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 xml:space="preserve">a </w:t>
      </w:r>
      <w:proofErr w:type="gramStart"/>
      <w:r w:rsidRPr="001F0A61">
        <w:rPr>
          <w:rFonts w:ascii="Times New Roman" w:hAnsi="Times New Roman" w:cs="Times New Roman"/>
          <w:lang w:val="es-EC"/>
        </w:rPr>
        <w:t>tickets</w:t>
      </w:r>
      <w:proofErr w:type="gramEnd"/>
      <w:r w:rsidRPr="001F0A61">
        <w:rPr>
          <w:rFonts w:ascii="Times New Roman" w:hAnsi="Times New Roman" w:cs="Times New Roman"/>
          <w:lang w:val="es-EC"/>
        </w:rPr>
        <w:t xml:space="preserve"> bajos, mientras que subastas inversas y licitaciones explican montos más a</w:t>
      </w:r>
      <w:r w:rsidRPr="001F0A61">
        <w:rPr>
          <w:rFonts w:ascii="Times New Roman" w:hAnsi="Times New Roman" w:cs="Times New Roman"/>
          <w:lang w:val="es-EC"/>
        </w:rPr>
        <w:t>ltos por proceso. La interpretación</w:t>
      </w:r>
      <w:r w:rsidRPr="001F0A61">
        <w:rPr>
          <w:rFonts w:ascii="Times New Roman" w:hAnsi="Times New Roman" w:cs="Times New Roman"/>
          <w:lang w:val="es-EC"/>
        </w:rPr>
        <w:br/>
        <w:t>de asociaciones debe realizarse con cautela, pues se trabaja con agregados por categoría de procedimiento. Contar con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microdatos transaccionales en formato OCDS permitiría estimar modelos más ricos (por ejemplo, regresio</w:t>
      </w:r>
      <w:r w:rsidRPr="001F0A61">
        <w:rPr>
          <w:rFonts w:ascii="Times New Roman" w:hAnsi="Times New Roman" w:cs="Times New Roman"/>
          <w:lang w:val="es-EC"/>
        </w:rPr>
        <w:t>nes a nivel proceso,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controlando entidad, objeto, plazos y competencia). Aun así, los resultados son útiles para orientar decisiones tácticas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de entrada comercial y priorización tecnológica del lado empresarial.</w:t>
      </w:r>
    </w:p>
    <w:p w14:paraId="2B103448" w14:textId="77777777" w:rsidR="00CE4936" w:rsidRPr="001F0A61" w:rsidRDefault="00BC3F55">
      <w:pPr>
        <w:pStyle w:val="Ttulo1"/>
        <w:rPr>
          <w:rFonts w:ascii="Times New Roman" w:hAnsi="Times New Roman" w:cs="Times New Roman"/>
          <w:color w:val="auto"/>
          <w:lang w:val="es-EC"/>
        </w:rPr>
      </w:pPr>
      <w:r w:rsidRPr="001F0A61">
        <w:rPr>
          <w:rFonts w:ascii="Times New Roman" w:hAnsi="Times New Roman" w:cs="Times New Roman"/>
          <w:color w:val="auto"/>
          <w:lang w:val="es-EC"/>
        </w:rPr>
        <w:t>Recomendaciones</w:t>
      </w:r>
    </w:p>
    <w:p w14:paraId="27B27D22" w14:textId="4878563D" w:rsidR="00CE4936" w:rsidRPr="001F0A61" w:rsidRDefault="00BC3F55">
      <w:pPr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>Recomendaciones de innovació</w:t>
      </w:r>
      <w:r w:rsidRPr="001F0A61">
        <w:rPr>
          <w:rFonts w:ascii="Times New Roman" w:hAnsi="Times New Roman" w:cs="Times New Roman"/>
          <w:lang w:val="es-EC"/>
        </w:rPr>
        <w:t>n empresarial y tecnológica.</w:t>
      </w:r>
      <w:r w:rsidRPr="001F0A61">
        <w:rPr>
          <w:rFonts w:ascii="Times New Roman" w:hAnsi="Times New Roman" w:cs="Times New Roman"/>
          <w:lang w:val="es-EC"/>
        </w:rPr>
        <w:br/>
        <w:t xml:space="preserve">1) Inteligencia de mercado basada en OCDS. Implementar un pipeline de datos (ETL) que consuma la API de Contrataciones </w:t>
      </w:r>
      <w:r w:rsidRPr="001F0A61">
        <w:rPr>
          <w:rFonts w:ascii="Times New Roman" w:hAnsi="Times New Roman" w:cs="Times New Roman"/>
          <w:lang w:val="es-EC"/>
        </w:rPr>
        <w:t xml:space="preserve">Abiertas del SERCOP y actualice diariamente un data </w:t>
      </w:r>
      <w:proofErr w:type="spellStart"/>
      <w:r w:rsidRPr="001F0A61">
        <w:rPr>
          <w:rFonts w:ascii="Times New Roman" w:hAnsi="Times New Roman" w:cs="Times New Roman"/>
          <w:lang w:val="es-EC"/>
        </w:rPr>
        <w:t>mart</w:t>
      </w:r>
      <w:proofErr w:type="spellEnd"/>
      <w:r w:rsidRPr="001F0A61">
        <w:rPr>
          <w:rFonts w:ascii="Times New Roman" w:hAnsi="Times New Roman" w:cs="Times New Roman"/>
          <w:lang w:val="es-EC"/>
        </w:rPr>
        <w:t xml:space="preserve"> propio. Con ello, las empresas podrán monitorear c</w:t>
      </w:r>
      <w:r w:rsidRPr="001F0A61">
        <w:rPr>
          <w:rFonts w:ascii="Times New Roman" w:hAnsi="Times New Roman" w:cs="Times New Roman"/>
          <w:lang w:val="es-EC"/>
        </w:rPr>
        <w:t xml:space="preserve">onvocatorias, </w:t>
      </w:r>
      <w:r w:rsidRPr="001F0A61">
        <w:rPr>
          <w:rFonts w:ascii="Times New Roman" w:hAnsi="Times New Roman" w:cs="Times New Roman"/>
          <w:lang w:val="es-EC"/>
        </w:rPr>
        <w:t>evaluar competidores y construir un “</w:t>
      </w:r>
      <w:proofErr w:type="spellStart"/>
      <w:r w:rsidRPr="001F0A61">
        <w:rPr>
          <w:rFonts w:ascii="Times New Roman" w:hAnsi="Times New Roman" w:cs="Times New Roman"/>
          <w:lang w:val="es-EC"/>
        </w:rPr>
        <w:t>bid</w:t>
      </w:r>
      <w:proofErr w:type="spellEnd"/>
      <w:r w:rsidRPr="001F0A61">
        <w:rPr>
          <w:rFonts w:ascii="Times New Roman" w:hAnsi="Times New Roman" w:cs="Times New Roman"/>
          <w:lang w:val="es-EC"/>
        </w:rPr>
        <w:t>/no-</w:t>
      </w:r>
      <w:proofErr w:type="spellStart"/>
      <w:r w:rsidRPr="001F0A61">
        <w:rPr>
          <w:rFonts w:ascii="Times New Roman" w:hAnsi="Times New Roman" w:cs="Times New Roman"/>
          <w:lang w:val="es-EC"/>
        </w:rPr>
        <w:t>bid</w:t>
      </w:r>
      <w:proofErr w:type="spellEnd"/>
      <w:r w:rsidRPr="001F0A61">
        <w:rPr>
          <w:rFonts w:ascii="Times New Roman" w:hAnsi="Times New Roman" w:cs="Times New Roman"/>
          <w:lang w:val="es-EC"/>
        </w:rPr>
        <w:t xml:space="preserve"> score” por procedimiento, entidad y provincia.</w:t>
      </w:r>
      <w:r w:rsidRPr="001F0A61">
        <w:rPr>
          <w:rFonts w:ascii="Times New Roman" w:hAnsi="Times New Roman" w:cs="Times New Roman"/>
          <w:lang w:val="es-EC"/>
        </w:rPr>
        <w:br/>
        <w:t xml:space="preserve">2) Automatización operativa para alto volumen. Para capturar oportunidades en Catálogo Electrónico e Ínfima Cuantía, se </w:t>
      </w:r>
      <w:r w:rsidRPr="001F0A61">
        <w:rPr>
          <w:rFonts w:ascii="Times New Roman" w:hAnsi="Times New Roman" w:cs="Times New Roman"/>
          <w:lang w:val="es-EC"/>
        </w:rPr>
        <w:t>recomiendan integraciones</w:t>
      </w:r>
      <w:r w:rsidRPr="001F0A61">
        <w:rPr>
          <w:rFonts w:ascii="Times New Roman" w:hAnsi="Times New Roman" w:cs="Times New Roman"/>
          <w:lang w:val="es-EC"/>
        </w:rPr>
        <w:t xml:space="preserve"> con ERP/CRM, plantillas de ofertas, robots RPA para carga documental y control de inventarios.</w:t>
      </w:r>
      <w:r w:rsidRPr="001F0A61">
        <w:rPr>
          <w:rFonts w:ascii="Times New Roman" w:hAnsi="Times New Roman" w:cs="Times New Roman"/>
          <w:lang w:val="es-EC"/>
        </w:rPr>
        <w:br/>
        <w:t xml:space="preserve">3) Capacidades para procesos de alto </w:t>
      </w:r>
      <w:proofErr w:type="gramStart"/>
      <w:r w:rsidRPr="001F0A61">
        <w:rPr>
          <w:rFonts w:ascii="Times New Roman" w:hAnsi="Times New Roman" w:cs="Times New Roman"/>
          <w:lang w:val="es-EC"/>
        </w:rPr>
        <w:t>ticket</w:t>
      </w:r>
      <w:proofErr w:type="gramEnd"/>
      <w:r w:rsidRPr="001F0A61">
        <w:rPr>
          <w:rFonts w:ascii="Times New Roman" w:hAnsi="Times New Roman" w:cs="Times New Roman"/>
          <w:lang w:val="es-EC"/>
        </w:rPr>
        <w:t xml:space="preserve">. Para SIE, Licitación y Emergencias, priorizar: gestión de riesgos de precios, </w:t>
      </w:r>
      <w:r w:rsidRPr="001F0A61">
        <w:rPr>
          <w:rFonts w:ascii="Times New Roman" w:hAnsi="Times New Roman" w:cs="Times New Roman"/>
          <w:lang w:val="es-EC"/>
        </w:rPr>
        <w:t>consorcios estratégicos, certificaci</w:t>
      </w:r>
      <w:r w:rsidRPr="001F0A61">
        <w:rPr>
          <w:rFonts w:ascii="Times New Roman" w:hAnsi="Times New Roman" w:cs="Times New Roman"/>
          <w:lang w:val="es-EC"/>
        </w:rPr>
        <w:t>ones de calidad y analítica de costos que justifique márgenes competitivos.</w:t>
      </w:r>
      <w:r w:rsidRPr="001F0A61">
        <w:rPr>
          <w:rFonts w:ascii="Times New Roman" w:hAnsi="Times New Roman" w:cs="Times New Roman"/>
          <w:lang w:val="es-EC"/>
        </w:rPr>
        <w:br/>
        <w:t xml:space="preserve">4) Tableros ejecutivos y alertas. Desplegar </w:t>
      </w:r>
      <w:proofErr w:type="spellStart"/>
      <w:r w:rsidRPr="001F0A61">
        <w:rPr>
          <w:rFonts w:ascii="Times New Roman" w:hAnsi="Times New Roman" w:cs="Times New Roman"/>
          <w:lang w:val="es-EC"/>
        </w:rPr>
        <w:t>dashboards</w:t>
      </w:r>
      <w:proofErr w:type="spellEnd"/>
      <w:r w:rsidRPr="001F0A61">
        <w:rPr>
          <w:rFonts w:ascii="Times New Roman" w:hAnsi="Times New Roman" w:cs="Times New Roman"/>
          <w:lang w:val="es-EC"/>
        </w:rPr>
        <w:t xml:space="preserve"> con métricas clave (participación por tipo de compra, </w:t>
      </w:r>
      <w:proofErr w:type="gramStart"/>
      <w:r w:rsidRPr="001F0A61">
        <w:rPr>
          <w:rFonts w:ascii="Times New Roman" w:hAnsi="Times New Roman" w:cs="Times New Roman"/>
          <w:lang w:val="es-EC"/>
        </w:rPr>
        <w:t>ticket</w:t>
      </w:r>
      <w:proofErr w:type="gramEnd"/>
      <w:r w:rsidRP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promedio por procedimiento, tiempos y estacionalidad), así como</w:t>
      </w:r>
      <w:r w:rsidRPr="001F0A61">
        <w:rPr>
          <w:rFonts w:ascii="Times New Roman" w:hAnsi="Times New Roman" w:cs="Times New Roman"/>
          <w:lang w:val="es-EC"/>
        </w:rPr>
        <w:t xml:space="preserve"> alertas tempranas para cambios normativos y nuevas </w:t>
      </w:r>
      <w:r w:rsidRPr="001F0A61">
        <w:rPr>
          <w:rFonts w:ascii="Times New Roman" w:hAnsi="Times New Roman" w:cs="Times New Roman"/>
          <w:lang w:val="es-EC"/>
        </w:rPr>
        <w:t>oportunidades por entidad compradora.</w:t>
      </w:r>
      <w:r w:rsidRPr="001F0A61">
        <w:rPr>
          <w:rFonts w:ascii="Times New Roman" w:hAnsi="Times New Roman" w:cs="Times New Roman"/>
          <w:lang w:val="es-EC"/>
        </w:rPr>
        <w:br/>
        <w:t xml:space="preserve">5) Calidad y gobernanza de datos. Adoptar lineamientos del INEC (MPE) para documentar </w:t>
      </w:r>
      <w:r w:rsidRPr="001F0A61">
        <w:rPr>
          <w:rFonts w:ascii="Times New Roman" w:hAnsi="Times New Roman" w:cs="Times New Roman"/>
          <w:lang w:val="es-EC"/>
        </w:rPr>
        <w:lastRenderedPageBreak/>
        <w:t xml:space="preserve">procesos y metadatos, garantizando </w:t>
      </w:r>
      <w:r w:rsidRPr="001F0A61">
        <w:rPr>
          <w:rFonts w:ascii="Times New Roman" w:hAnsi="Times New Roman" w:cs="Times New Roman"/>
          <w:lang w:val="es-EC"/>
        </w:rPr>
        <w:t>reproducibilidad y trazabilidad para audito</w:t>
      </w:r>
      <w:r w:rsidRPr="001F0A61">
        <w:rPr>
          <w:rFonts w:ascii="Times New Roman" w:hAnsi="Times New Roman" w:cs="Times New Roman"/>
          <w:lang w:val="es-EC"/>
        </w:rPr>
        <w:t>rías y mejora continua.</w:t>
      </w:r>
    </w:p>
    <w:p w14:paraId="05774611" w14:textId="77777777" w:rsidR="00CE4936" w:rsidRPr="001F0A61" w:rsidRDefault="00BC3F55">
      <w:pPr>
        <w:pStyle w:val="Ttulo1"/>
        <w:rPr>
          <w:rFonts w:ascii="Times New Roman" w:hAnsi="Times New Roman" w:cs="Times New Roman"/>
          <w:color w:val="auto"/>
          <w:lang w:val="es-EC"/>
        </w:rPr>
      </w:pPr>
      <w:r w:rsidRPr="001F0A61">
        <w:rPr>
          <w:rFonts w:ascii="Times New Roman" w:hAnsi="Times New Roman" w:cs="Times New Roman"/>
          <w:color w:val="auto"/>
          <w:lang w:val="es-EC"/>
        </w:rPr>
        <w:t>Conclusiones</w:t>
      </w:r>
    </w:p>
    <w:p w14:paraId="4BC79CF1" w14:textId="7DEC1438" w:rsidR="00CE4936" w:rsidRPr="001F0A61" w:rsidRDefault="00BC3F55">
      <w:pPr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br/>
        <w:t>El mercado público ecuatoriano en 2024 movió aproximadamente USD 8 mil millones, con mayor peso en servicios y bienes.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En el RC, la SIE lidera por monto adjudicado, mientras que el Catálogo Electrónico dom</w:t>
      </w:r>
      <w:r w:rsidRPr="001F0A61">
        <w:rPr>
          <w:rFonts w:ascii="Times New Roman" w:hAnsi="Times New Roman" w:cs="Times New Roman"/>
          <w:lang w:val="es-EC"/>
        </w:rPr>
        <w:t>ina por volumen de procesos. Esta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dupla sugiere dos estrategias empresariales complementarias: (i) excelencia operativa y automatización para competir en</w:t>
      </w:r>
      <w:r w:rsidRPr="001F0A61">
        <w:rPr>
          <w:rFonts w:ascii="Times New Roman" w:hAnsi="Times New Roman" w:cs="Times New Roman"/>
          <w:lang w:val="es-EC"/>
        </w:rPr>
        <w:br/>
        <w:t xml:space="preserve">segmentos de alto volumen/bajo </w:t>
      </w:r>
      <w:proofErr w:type="gramStart"/>
      <w:r w:rsidRPr="001F0A61">
        <w:rPr>
          <w:rFonts w:ascii="Times New Roman" w:hAnsi="Times New Roman" w:cs="Times New Roman"/>
          <w:lang w:val="es-EC"/>
        </w:rPr>
        <w:t>ticket</w:t>
      </w:r>
      <w:proofErr w:type="gramEnd"/>
      <w:r w:rsidRPr="001F0A61">
        <w:rPr>
          <w:rFonts w:ascii="Times New Roman" w:hAnsi="Times New Roman" w:cs="Times New Roman"/>
          <w:lang w:val="es-EC"/>
        </w:rPr>
        <w:t>; y (</w:t>
      </w:r>
      <w:proofErr w:type="spellStart"/>
      <w:r w:rsidRPr="001F0A61">
        <w:rPr>
          <w:rFonts w:ascii="Times New Roman" w:hAnsi="Times New Roman" w:cs="Times New Roman"/>
          <w:lang w:val="es-EC"/>
        </w:rPr>
        <w:t>ii</w:t>
      </w:r>
      <w:proofErr w:type="spellEnd"/>
      <w:r w:rsidRPr="001F0A61">
        <w:rPr>
          <w:rFonts w:ascii="Times New Roman" w:hAnsi="Times New Roman" w:cs="Times New Roman"/>
          <w:lang w:val="es-EC"/>
        </w:rPr>
        <w:t>) rigor técnico, consorcios y gestión de riesgo para compe</w:t>
      </w:r>
      <w:r w:rsidRPr="001F0A61">
        <w:rPr>
          <w:rFonts w:ascii="Times New Roman" w:hAnsi="Times New Roman" w:cs="Times New Roman"/>
          <w:lang w:val="es-EC"/>
        </w:rPr>
        <w:t>tir en procesos de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>alto ticket. Avanzar hacia datos micro a nivel OCDS permitirá a las empresas desarrollar analítica prescriptiva (modelos</w:t>
      </w:r>
      <w:r w:rsidR="001F0A61">
        <w:rPr>
          <w:rFonts w:ascii="Times New Roman" w:hAnsi="Times New Roman" w:cs="Times New Roman"/>
          <w:lang w:val="es-EC"/>
        </w:rPr>
        <w:t xml:space="preserve"> </w:t>
      </w:r>
      <w:r w:rsidRPr="001F0A61">
        <w:rPr>
          <w:rFonts w:ascii="Times New Roman" w:hAnsi="Times New Roman" w:cs="Times New Roman"/>
          <w:lang w:val="es-EC"/>
        </w:rPr>
        <w:t xml:space="preserve">de probabilidad de adjudicación, </w:t>
      </w:r>
      <w:proofErr w:type="spellStart"/>
      <w:r w:rsidRPr="001F0A61">
        <w:rPr>
          <w:rFonts w:ascii="Times New Roman" w:hAnsi="Times New Roman" w:cs="Times New Roman"/>
          <w:lang w:val="es-EC"/>
        </w:rPr>
        <w:t>pricing</w:t>
      </w:r>
      <w:proofErr w:type="spellEnd"/>
      <w:r w:rsidRPr="001F0A61">
        <w:rPr>
          <w:rFonts w:ascii="Times New Roman" w:hAnsi="Times New Roman" w:cs="Times New Roman"/>
          <w:lang w:val="es-EC"/>
        </w:rPr>
        <w:t xml:space="preserve"> dinámico y evaluación de riesgos) para una toma de decisiones más informada</w:t>
      </w:r>
      <w:r w:rsidRPr="001F0A61">
        <w:rPr>
          <w:rFonts w:ascii="Times New Roman" w:hAnsi="Times New Roman" w:cs="Times New Roman"/>
          <w:lang w:val="es-EC"/>
        </w:rPr>
        <w:t>.</w:t>
      </w:r>
    </w:p>
    <w:p w14:paraId="43DCAE2E" w14:textId="59D7B857" w:rsidR="00CE4936" w:rsidRPr="001F0A61" w:rsidRDefault="00BC3F55">
      <w:pPr>
        <w:pStyle w:val="Ttulo1"/>
        <w:rPr>
          <w:rFonts w:ascii="Times New Roman" w:hAnsi="Times New Roman" w:cs="Times New Roman"/>
          <w:color w:val="auto"/>
          <w:lang w:val="es-EC"/>
        </w:rPr>
      </w:pPr>
      <w:r w:rsidRPr="001F0A61">
        <w:rPr>
          <w:rFonts w:ascii="Times New Roman" w:hAnsi="Times New Roman" w:cs="Times New Roman"/>
          <w:color w:val="auto"/>
          <w:lang w:val="es-EC"/>
        </w:rPr>
        <w:t>Referencias</w:t>
      </w:r>
    </w:p>
    <w:p w14:paraId="0412F262" w14:textId="77777777" w:rsidR="00CE4936" w:rsidRPr="001F0A61" w:rsidRDefault="00BC3F55" w:rsidP="001F0A61">
      <w:pPr>
        <w:ind w:left="720" w:hanging="720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>Servicio Nacional de Contratación Pública (SERCOP). (2025). Informe preliminar RDC 2024. https://portal.compraspublicas.gob.ec/sercop/wp-content/uploads/2025/07/Informe-Preliminar-RDC-2024_-01072025_FINAL_APR.pdf</w:t>
      </w:r>
    </w:p>
    <w:p w14:paraId="65E93AA5" w14:textId="77777777" w:rsidR="00CE4936" w:rsidRPr="001F0A61" w:rsidRDefault="00BC3F55" w:rsidP="001F0A61">
      <w:pPr>
        <w:ind w:left="720" w:hanging="720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>SERCOP. (s. f.)</w:t>
      </w:r>
      <w:r w:rsidRPr="001F0A61">
        <w:rPr>
          <w:rFonts w:ascii="Times New Roman" w:hAnsi="Times New Roman" w:cs="Times New Roman"/>
          <w:lang w:val="es-EC"/>
        </w:rPr>
        <w:t>. Datos abiertos de contratación pública del Ecuador (OCDS). https://datosabiertos.compraspublicas.gob.ec/PLATAFORMA/datos-abiertos</w:t>
      </w:r>
    </w:p>
    <w:p w14:paraId="3F7BA9C1" w14:textId="77777777" w:rsidR="00CE4936" w:rsidRPr="001F0A61" w:rsidRDefault="00BC3F55" w:rsidP="001F0A61">
      <w:pPr>
        <w:ind w:left="720" w:hanging="720"/>
        <w:rPr>
          <w:rFonts w:ascii="Times New Roman" w:hAnsi="Times New Roman" w:cs="Times New Roman"/>
        </w:rPr>
      </w:pPr>
      <w:r w:rsidRPr="001F0A61">
        <w:rPr>
          <w:rFonts w:ascii="Times New Roman" w:hAnsi="Times New Roman" w:cs="Times New Roman"/>
        </w:rPr>
        <w:t>Open Contracting Partnership. (s. f.). Open Contracting Data Standard (OCDS) – Documentation. https://standard.open-contract</w:t>
      </w:r>
      <w:r w:rsidRPr="001F0A61">
        <w:rPr>
          <w:rFonts w:ascii="Times New Roman" w:hAnsi="Times New Roman" w:cs="Times New Roman"/>
        </w:rPr>
        <w:t>ing.org/</w:t>
      </w:r>
    </w:p>
    <w:p w14:paraId="062C147A" w14:textId="77777777" w:rsidR="00CE4936" w:rsidRPr="001F0A61" w:rsidRDefault="00BC3F55" w:rsidP="001F0A61">
      <w:pPr>
        <w:ind w:left="720" w:hanging="720"/>
        <w:rPr>
          <w:rFonts w:ascii="Times New Roman" w:hAnsi="Times New Roman" w:cs="Times New Roman"/>
        </w:rPr>
      </w:pPr>
      <w:r w:rsidRPr="001F0A61">
        <w:rPr>
          <w:rFonts w:ascii="Times New Roman" w:hAnsi="Times New Roman" w:cs="Times New Roman"/>
        </w:rPr>
        <w:t>OECD. (2025). Digital transformation of public procurement. https://www.oecd.org/en/publications/digital-transformation-of-public-procurement_79651651-en.html</w:t>
      </w:r>
    </w:p>
    <w:p w14:paraId="641A4B1C" w14:textId="77777777" w:rsidR="00CE4936" w:rsidRPr="001F0A61" w:rsidRDefault="00BC3F55" w:rsidP="001F0A61">
      <w:pPr>
        <w:ind w:left="720" w:hanging="720"/>
        <w:rPr>
          <w:rFonts w:ascii="Times New Roman" w:hAnsi="Times New Roman" w:cs="Times New Roman"/>
          <w:lang w:val="es-EC"/>
        </w:rPr>
      </w:pPr>
      <w:r w:rsidRPr="001F0A61">
        <w:rPr>
          <w:rFonts w:ascii="Times New Roman" w:hAnsi="Times New Roman" w:cs="Times New Roman"/>
          <w:lang w:val="es-EC"/>
        </w:rPr>
        <w:t>INEC. (2024). Modelo de Producción Estadística, versión 2.0. https://www.ecuadorencifras</w:t>
      </w:r>
      <w:r w:rsidRPr="001F0A61">
        <w:rPr>
          <w:rFonts w:ascii="Times New Roman" w:hAnsi="Times New Roman" w:cs="Times New Roman"/>
          <w:lang w:val="es-EC"/>
        </w:rPr>
        <w:t>.gob.ec/documentos/web-inec/Sistema_Estadistico_Nacional/Normativas_y_Estandares/modelo_de_produccion_estadistica_v2.pdf</w:t>
      </w:r>
    </w:p>
    <w:p w14:paraId="5FC05340" w14:textId="77777777" w:rsidR="00CE4936" w:rsidRPr="001F0A61" w:rsidRDefault="00BC3F55" w:rsidP="001F0A61">
      <w:pPr>
        <w:ind w:left="720" w:hanging="720"/>
        <w:rPr>
          <w:rFonts w:ascii="Times New Roman" w:hAnsi="Times New Roman" w:cs="Times New Roman"/>
        </w:rPr>
      </w:pPr>
      <w:r w:rsidRPr="001F0A61">
        <w:rPr>
          <w:rFonts w:ascii="Times New Roman" w:hAnsi="Times New Roman" w:cs="Times New Roman"/>
        </w:rPr>
        <w:t>World Bank. (2023). Government Analytics Handbook – Chapter 12: Government Analytics Using Procurement Data. https://thedocs.worldbank.</w:t>
      </w:r>
      <w:r w:rsidRPr="001F0A61">
        <w:rPr>
          <w:rFonts w:ascii="Times New Roman" w:hAnsi="Times New Roman" w:cs="Times New Roman"/>
        </w:rPr>
        <w:t>org/en/doc/5958d8e2b7f26b4f817027245b0ba2e2-0050042023/original/GAH-CHAPTER-12.pdf</w:t>
      </w:r>
    </w:p>
    <w:sectPr w:rsidR="00CE4936" w:rsidRPr="001F0A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0A61"/>
    <w:rsid w:val="0029639D"/>
    <w:rsid w:val="00326F90"/>
    <w:rsid w:val="00AA1D8D"/>
    <w:rsid w:val="00B00C10"/>
    <w:rsid w:val="00B47730"/>
    <w:rsid w:val="00BC3F55"/>
    <w:rsid w:val="00CB0664"/>
    <w:rsid w:val="00CE49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4B3E2"/>
  <w14:defaultImageDpi w14:val="300"/>
  <w15:docId w15:val="{64BC1816-6153-4FFB-83BB-52BDD333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1726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(Estudiante) Esteban Andrés Garzón Rendón</cp:lastModifiedBy>
  <cp:revision>2</cp:revision>
  <cp:lastPrinted>2025-08-25T02:44:00Z</cp:lastPrinted>
  <dcterms:created xsi:type="dcterms:W3CDTF">2025-08-25T02:44:00Z</dcterms:created>
  <dcterms:modified xsi:type="dcterms:W3CDTF">2025-08-25T02:44:00Z</dcterms:modified>
  <cp:category/>
</cp:coreProperties>
</file>